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66" w:rsidRPr="0024033F" w:rsidRDefault="00216366" w:rsidP="00216366">
      <w:pPr>
        <w:jc w:val="left"/>
        <w:rPr>
          <w:lang w:val="pt-BR"/>
        </w:rPr>
      </w:pPr>
      <w:r>
        <w:rPr>
          <w:lang w:val="pt-BR"/>
        </w:rPr>
        <w:t xml:space="preserve">                    </w:t>
      </w:r>
      <w:r w:rsidRPr="0024033F">
        <w:rPr>
          <w:lang w:val="pt-BR"/>
        </w:rPr>
        <w:t xml:space="preserve">                                                   </w:t>
      </w:r>
      <w:r>
        <w:rPr>
          <w:lang w:val="pt-BR"/>
        </w:rPr>
        <w:t xml:space="preserve">                       </w:t>
      </w:r>
    </w:p>
    <w:p w:rsidR="00216366" w:rsidRPr="00D63A69" w:rsidRDefault="00216366" w:rsidP="00216366">
      <w:pPr>
        <w:jc w:val="center"/>
        <w:rPr>
          <w:rFonts w:cs="Arial"/>
          <w:b/>
          <w:sz w:val="32"/>
          <w:szCs w:val="32"/>
          <w:u w:val="single"/>
        </w:rPr>
      </w:pPr>
      <w:r w:rsidRPr="00D63A69">
        <w:rPr>
          <w:rFonts w:cs="Arial"/>
          <w:b/>
          <w:sz w:val="32"/>
          <w:szCs w:val="32"/>
          <w:u w:val="single"/>
        </w:rPr>
        <w:t xml:space="preserve">SOFT OFFER                                </w:t>
      </w:r>
    </w:p>
    <w:p w:rsidR="00216366" w:rsidRPr="002B2309" w:rsidRDefault="00216366" w:rsidP="00216366">
      <w:pPr>
        <w:spacing w:before="120"/>
        <w:jc w:val="center"/>
        <w:rPr>
          <w:rFonts w:cs="Arial"/>
          <w:b/>
        </w:rPr>
      </w:pPr>
      <w:r>
        <w:rPr>
          <w:rFonts w:cs="Arial"/>
          <w:b/>
        </w:rPr>
        <w:t>USED RAIL R50-R65 ISRI 27-29</w:t>
      </w:r>
      <w:r>
        <w:rPr>
          <w:rFonts w:cs="Arial"/>
          <w:b/>
          <w:lang w:eastAsia="zh-TW"/>
        </w:rPr>
        <w:t xml:space="preserve">                        </w:t>
      </w:r>
    </w:p>
    <w:p w:rsidR="00216366" w:rsidRDefault="00216366" w:rsidP="00216366">
      <w:pPr>
        <w:rPr>
          <w:rFonts w:cs="Arial"/>
          <w:b/>
          <w:lang w:eastAsia="zh-TW"/>
        </w:rPr>
      </w:pPr>
      <w:r>
        <w:rPr>
          <w:rFonts w:cs="Arial"/>
          <w:b/>
          <w:lang w:eastAsia="zh-TW"/>
        </w:rPr>
        <w:t>To: Potential Buyer</w:t>
      </w:r>
    </w:p>
    <w:p w:rsidR="00216366" w:rsidRDefault="00216366" w:rsidP="00216366">
      <w:pPr>
        <w:rPr>
          <w:rFonts w:cs="Arial"/>
          <w:b/>
          <w:lang w:eastAsia="zh-TW"/>
        </w:rPr>
      </w:pPr>
    </w:p>
    <w:p w:rsidR="00216366" w:rsidRDefault="00216366" w:rsidP="00216366">
      <w:pPr>
        <w:rPr>
          <w:rFonts w:cs="Arial"/>
          <w:b/>
          <w:lang w:eastAsia="zh-TW"/>
        </w:rPr>
      </w:pPr>
      <w:proofErr w:type="spellStart"/>
      <w:r>
        <w:rPr>
          <w:rFonts w:cs="Arial"/>
          <w:b/>
          <w:lang w:eastAsia="zh-TW"/>
        </w:rPr>
        <w:t>Throgh</w:t>
      </w:r>
      <w:proofErr w:type="spellEnd"/>
      <w:r>
        <w:rPr>
          <w:rFonts w:cs="Arial"/>
          <w:b/>
          <w:lang w:eastAsia="zh-TW"/>
        </w:rPr>
        <w:t xml:space="preserve">: Asian Dragon International </w:t>
      </w:r>
    </w:p>
    <w:p w:rsidR="00216366" w:rsidRDefault="00216366" w:rsidP="00216366">
      <w:pPr>
        <w:rPr>
          <w:rFonts w:cs="Arial"/>
          <w:b/>
          <w:lang w:eastAsia="zh-TW"/>
        </w:rPr>
      </w:pPr>
    </w:p>
    <w:p w:rsidR="00216366" w:rsidRDefault="00216366" w:rsidP="00216366">
      <w:pPr>
        <w:rPr>
          <w:rFonts w:cs="Arial"/>
          <w:lang w:eastAsia="zh-TW"/>
        </w:rPr>
      </w:pPr>
      <w:r>
        <w:rPr>
          <w:rFonts w:cs="Arial"/>
          <w:lang w:eastAsia="zh-TW"/>
        </w:rPr>
        <w:t>Dear Sirs,</w:t>
      </w:r>
    </w:p>
    <w:p w:rsidR="00216366" w:rsidRDefault="00216366" w:rsidP="00216366">
      <w:pPr>
        <w:spacing w:after="60"/>
        <w:rPr>
          <w:rFonts w:cs="Arial"/>
          <w:b/>
        </w:rPr>
      </w:pPr>
      <w:r>
        <w:rPr>
          <w:rFonts w:cs="Arial"/>
        </w:rPr>
        <w:t xml:space="preserve">We, on behalf and authorized by the Seller or its representatives, wish to confirm, with full corporate responsibility, that we are ready, willing and able to transact and provide the commodity of </w:t>
      </w:r>
      <w:r>
        <w:rPr>
          <w:rFonts w:cs="Arial"/>
          <w:b/>
        </w:rPr>
        <w:t xml:space="preserve">Scrap Metal Used Rails R50-R65 </w:t>
      </w:r>
      <w:r>
        <w:rPr>
          <w:rFonts w:cs="Arial"/>
        </w:rPr>
        <w:t xml:space="preserve"> under the following specifications, terms and conditions. Sales and purchase will be based on International procedures.</w:t>
      </w:r>
    </w:p>
    <w:p w:rsidR="00216366" w:rsidRDefault="00216366" w:rsidP="00216366">
      <w:pPr>
        <w:spacing w:after="60"/>
        <w:rPr>
          <w:rFonts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075"/>
        <w:gridCol w:w="7128"/>
      </w:tblGrid>
      <w:tr w:rsidR="00216366" w:rsidTr="00D715FE">
        <w:tc>
          <w:tcPr>
            <w:tcW w:w="445" w:type="dxa"/>
          </w:tcPr>
          <w:p w:rsidR="00216366" w:rsidRPr="00A73861" w:rsidRDefault="00216366" w:rsidP="00D715FE">
            <w:pPr>
              <w:rPr>
                <w:b/>
              </w:rPr>
            </w:pPr>
          </w:p>
          <w:p w:rsidR="00216366" w:rsidRPr="00A73861" w:rsidRDefault="00216366" w:rsidP="00D715FE">
            <w:pPr>
              <w:rPr>
                <w:b/>
              </w:rPr>
            </w:pPr>
            <w:r w:rsidRPr="00A73861">
              <w:rPr>
                <w:b/>
              </w:rPr>
              <w:t>1.</w:t>
            </w:r>
          </w:p>
          <w:p w:rsidR="00216366" w:rsidRPr="00A73861" w:rsidRDefault="00216366" w:rsidP="00D715FE">
            <w:pPr>
              <w:rPr>
                <w:b/>
              </w:rPr>
            </w:pPr>
          </w:p>
          <w:p w:rsidR="00216366" w:rsidRPr="00A73861" w:rsidRDefault="00216366" w:rsidP="00D715FE">
            <w:pPr>
              <w:rPr>
                <w:b/>
              </w:rPr>
            </w:pPr>
            <w:r w:rsidRPr="00A73861">
              <w:rPr>
                <w:b/>
              </w:rPr>
              <w:t>2.</w:t>
            </w:r>
          </w:p>
        </w:tc>
        <w:tc>
          <w:tcPr>
            <w:tcW w:w="2075" w:type="dxa"/>
          </w:tcPr>
          <w:p w:rsidR="00216366" w:rsidRPr="00A73861" w:rsidRDefault="00216366" w:rsidP="00D715FE">
            <w:pPr>
              <w:rPr>
                <w:b/>
              </w:rPr>
            </w:pPr>
          </w:p>
          <w:p w:rsidR="00216366" w:rsidRPr="00A73861" w:rsidRDefault="00216366" w:rsidP="00D715FE">
            <w:pPr>
              <w:rPr>
                <w:b/>
              </w:rPr>
            </w:pPr>
            <w:r w:rsidRPr="00A73861">
              <w:rPr>
                <w:b/>
              </w:rPr>
              <w:t>COMMODITY</w:t>
            </w:r>
          </w:p>
          <w:p w:rsidR="00216366" w:rsidRPr="00A73861" w:rsidRDefault="00216366" w:rsidP="00D715FE">
            <w:pPr>
              <w:rPr>
                <w:b/>
              </w:rPr>
            </w:pPr>
          </w:p>
          <w:p w:rsidR="00216366" w:rsidRPr="00A73861" w:rsidRDefault="00216366" w:rsidP="00D715FE">
            <w:pPr>
              <w:rPr>
                <w:b/>
              </w:rPr>
            </w:pPr>
            <w:r w:rsidRPr="00A73861">
              <w:rPr>
                <w:b/>
              </w:rPr>
              <w:t>SPECIFICATIONS</w:t>
            </w:r>
          </w:p>
        </w:tc>
        <w:tc>
          <w:tcPr>
            <w:tcW w:w="7128" w:type="dxa"/>
          </w:tcPr>
          <w:p w:rsidR="00216366" w:rsidRDefault="00216366" w:rsidP="00D715FE"/>
          <w:p w:rsidR="00216366" w:rsidRPr="00CE4C91" w:rsidRDefault="00216366" w:rsidP="00D715FE">
            <w:pPr>
              <w:rPr>
                <w:rFonts w:ascii="Tahoma" w:hAnsi="Tahoma" w:cs="Tahoma"/>
                <w:b/>
                <w:sz w:val="21"/>
                <w:szCs w:val="21"/>
              </w:rPr>
            </w:pPr>
            <w:r w:rsidRPr="00804233">
              <w:rPr>
                <w:rFonts w:cs="Arial"/>
                <w:b/>
                <w:color w:val="000000"/>
              </w:rPr>
              <w:t>USED RAIL R50-R65</w:t>
            </w:r>
            <w:r>
              <w:rPr>
                <w:rFonts w:ascii="Tahoma" w:hAnsi="Tahoma" w:cs="Tahoma"/>
                <w:b/>
                <w:sz w:val="21"/>
                <w:szCs w:val="21"/>
              </w:rPr>
              <w:t xml:space="preserve"> As per ISRI 27 to 29</w:t>
            </w:r>
          </w:p>
          <w:p w:rsidR="00216366" w:rsidRDefault="00216366" w:rsidP="00D715FE">
            <w:pPr>
              <w:autoSpaceDE w:val="0"/>
              <w:autoSpaceDN w:val="0"/>
              <w:adjustRightInd w:val="0"/>
              <w:rPr>
                <w:rFonts w:ascii="Century Gothic" w:hAnsi="Century Gothic" w:cs="Arial"/>
              </w:rPr>
            </w:pPr>
          </w:p>
          <w:p w:rsidR="00216366" w:rsidRDefault="00216366" w:rsidP="00D715FE">
            <w:pPr>
              <w:autoSpaceDE w:val="0"/>
              <w:autoSpaceDN w:val="0"/>
              <w:adjustRightInd w:val="0"/>
              <w:rPr>
                <w:rFonts w:ascii="Century Gothic" w:hAnsi="Century Gothic"/>
                <w:color w:val="000000"/>
              </w:rPr>
            </w:pPr>
            <w:r>
              <w:rPr>
                <w:rFonts w:ascii="Century Gothic" w:hAnsi="Century Gothic" w:cs="Arial"/>
              </w:rPr>
              <w:t xml:space="preserve">The seller herewith confirms that the scrap consists of Scrap used rails ISRI R50 (51.67kg/m GOST 7173-75, R65 (64.72 kg/m GOST 8165-75) ISRI Codes 27-29, rails are straight length of 6 to 12 m (+/- 5%).continuous welded rails .Free from mud. Wood dust fluff. Non ferrous, excessive rust &amp; other impurities (max 1%) and non radioactive. </w:t>
            </w:r>
            <w:r>
              <w:rPr>
                <w:rFonts w:ascii="Century Gothic" w:hAnsi="Century Gothic"/>
              </w:rPr>
              <w:t>Scrap Steel to be supplied under the present contract shall conform with s</w:t>
            </w:r>
            <w:r>
              <w:rPr>
                <w:rFonts w:ascii="Century Gothic" w:hAnsi="Century Gothic"/>
                <w:color w:val="000000"/>
              </w:rPr>
              <w:t xml:space="preserve">teel scrap specifications and standards of the Institute of Scrap Recycling Industries (ISRI) and shall be strictly limited to used rails and scrap steel to the standards specifically set out below: </w:t>
            </w:r>
          </w:p>
          <w:p w:rsidR="00216366" w:rsidRDefault="00216366" w:rsidP="00D715FE">
            <w:pPr>
              <w:autoSpaceDE w:val="0"/>
              <w:autoSpaceDN w:val="0"/>
              <w:adjustRightInd w:val="0"/>
              <w:rPr>
                <w:rFonts w:ascii="Century Gothic" w:hAnsi="Century Gothic"/>
                <w:color w:val="000000"/>
              </w:rPr>
            </w:pPr>
            <w:r>
              <w:rPr>
                <w:rFonts w:ascii="Century Gothic" w:hAnsi="Century Gothic"/>
                <w:b/>
                <w:bCs/>
                <w:color w:val="000000"/>
              </w:rPr>
              <w:t>a)</w:t>
            </w:r>
            <w:r>
              <w:rPr>
                <w:rFonts w:ascii="Century Gothic" w:hAnsi="Century Gothic"/>
                <w:color w:val="000000"/>
              </w:rPr>
              <w:t xml:space="preserve"> R50-R65: used long rail steel scrap in compliance with ISRI standard classification R50 (51.67 kg/m), </w:t>
            </w:r>
            <w:r>
              <w:rPr>
                <w:rFonts w:ascii="Century Gothic" w:hAnsi="Century Gothic"/>
              </w:rPr>
              <w:t xml:space="preserve">Suitable for re-rolling into bars and shapes.  Free from bent and twisted rails, frog, switches, and guard rails, or rails with split rail.  </w:t>
            </w:r>
          </w:p>
          <w:p w:rsidR="00216366" w:rsidRDefault="00216366" w:rsidP="00D715FE">
            <w:pPr>
              <w:autoSpaceDE w:val="0"/>
              <w:autoSpaceDN w:val="0"/>
              <w:adjustRightInd w:val="0"/>
              <w:rPr>
                <w:rFonts w:ascii="Century Gothic" w:hAnsi="Century Gothic"/>
              </w:rPr>
            </w:pPr>
            <w:r>
              <w:rPr>
                <w:rFonts w:ascii="Century Gothic" w:hAnsi="Century Gothic"/>
                <w:b/>
                <w:bCs/>
                <w:color w:val="000000"/>
              </w:rPr>
              <w:t>b</w:t>
            </w:r>
            <w:r>
              <w:rPr>
                <w:rFonts w:ascii="Century Gothic" w:hAnsi="Century Gothic"/>
                <w:color w:val="000000"/>
              </w:rPr>
              <w:t>) R65: used long rail steel scrap in compliance with ISRI standard classification R65  (64.72 kg/m) or ISRI Code 200 through 202, in length</w:t>
            </w:r>
            <w:r>
              <w:rPr>
                <w:rFonts w:ascii="Century Gothic" w:hAnsi="Century Gothic"/>
              </w:rPr>
              <w:t xml:space="preserve"> from Six (6) meters to Twelve (12) meters </w:t>
            </w:r>
            <w:r>
              <w:rPr>
                <w:rFonts w:ascii="Century Gothic" w:hAnsi="Century Gothic"/>
                <w:color w:val="000000"/>
              </w:rPr>
              <w:t xml:space="preserve">on per bar basis, </w:t>
            </w:r>
            <w:r>
              <w:rPr>
                <w:rFonts w:ascii="Century Gothic" w:hAnsi="Century Gothic"/>
              </w:rPr>
              <w:t>Suitable for re-rolling into bars and shapes.  Free from bent and twisted rails, frog, switches, and guard rails, or rails with split rail.</w:t>
            </w:r>
            <w:r>
              <w:rPr>
                <w:rFonts w:ascii="Century Gothic" w:hAnsi="Century Gothic"/>
                <w:color w:val="000000"/>
              </w:rPr>
              <w:t xml:space="preserve"> </w:t>
            </w:r>
          </w:p>
          <w:p w:rsidR="00216366" w:rsidRDefault="00216366" w:rsidP="00D715FE">
            <w:pPr>
              <w:autoSpaceDE w:val="0"/>
              <w:autoSpaceDN w:val="0"/>
              <w:adjustRightInd w:val="0"/>
              <w:jc w:val="left"/>
              <w:rPr>
                <w:rFonts w:ascii="Century Gothic" w:hAnsi="Century Gothic"/>
              </w:rPr>
            </w:pPr>
            <w:r>
              <w:rPr>
                <w:rFonts w:ascii="Century Gothic" w:hAnsi="Century Gothic"/>
                <w:b/>
                <w:bCs/>
                <w:color w:val="000000"/>
              </w:rPr>
              <w:t>c)</w:t>
            </w:r>
            <w:r>
              <w:rPr>
                <w:rFonts w:ascii="Century Gothic" w:hAnsi="Century Gothic"/>
                <w:color w:val="000000"/>
              </w:rPr>
              <w:t xml:space="preserve"> All s</w:t>
            </w:r>
            <w:r>
              <w:rPr>
                <w:rFonts w:ascii="Century Gothic" w:hAnsi="Century Gothic"/>
              </w:rPr>
              <w:t>craps shall be free of explosive and oily materials and woody substance in any event.</w:t>
            </w:r>
          </w:p>
          <w:p w:rsidR="00216366" w:rsidRDefault="00216366" w:rsidP="00D715FE">
            <w:pPr>
              <w:autoSpaceDE w:val="0"/>
              <w:autoSpaceDN w:val="0"/>
              <w:adjustRightInd w:val="0"/>
              <w:jc w:val="center"/>
              <w:rPr>
                <w:rFonts w:ascii="Century Gothic" w:hAnsi="Century Gothic"/>
                <w:color w:val="000000"/>
              </w:rPr>
            </w:pPr>
            <w:r>
              <w:br/>
            </w:r>
            <w:r>
              <w:rPr>
                <w:rFonts w:ascii="Century Gothic" w:hAnsi="Century Gothic" w:cs="Arial"/>
                <w:b/>
                <w:u w:val="single"/>
              </w:rPr>
              <w:t>COMPOSITION:</w:t>
            </w:r>
          </w:p>
          <w:p w:rsidR="00216366" w:rsidRPr="00CE4C91" w:rsidRDefault="00216366" w:rsidP="00D715FE">
            <w:pPr>
              <w:jc w:val="center"/>
              <w:rPr>
                <w:rFonts w:cs="Arial"/>
                <w:b/>
                <w:bCs/>
              </w:rPr>
            </w:pPr>
            <w:proofErr w:type="spellStart"/>
            <w:r>
              <w:rPr>
                <w:rFonts w:ascii="Century Gothic" w:hAnsi="Century Gothic" w:cs="Arial"/>
                <w:lang w:val="fr-FR"/>
              </w:rPr>
              <w:t>Carbon</w:t>
            </w:r>
            <w:proofErr w:type="spellEnd"/>
            <w:r>
              <w:rPr>
                <w:rFonts w:ascii="Century Gothic" w:hAnsi="Century Gothic" w:cs="Arial"/>
                <w:lang w:val="fr-FR"/>
              </w:rPr>
              <w:tab/>
            </w:r>
            <w:r>
              <w:rPr>
                <w:rFonts w:ascii="Century Gothic" w:hAnsi="Century Gothic" w:cs="Arial"/>
                <w:lang w:val="fr-FR"/>
              </w:rPr>
              <w:tab/>
              <w:t xml:space="preserve">             0,20—0,60% </w:t>
            </w:r>
            <w:r>
              <w:rPr>
                <w:rFonts w:ascii="Century Gothic" w:hAnsi="Century Gothic" w:cs="Arial"/>
                <w:lang w:val="fr-FR"/>
              </w:rPr>
              <w:br/>
            </w:r>
            <w:proofErr w:type="spellStart"/>
            <w:r>
              <w:rPr>
                <w:rFonts w:ascii="Century Gothic" w:hAnsi="Century Gothic" w:cs="Arial"/>
                <w:lang w:val="fr-FR"/>
              </w:rPr>
              <w:t>Manganese</w:t>
            </w:r>
            <w:proofErr w:type="spellEnd"/>
            <w:r>
              <w:rPr>
                <w:rFonts w:ascii="Century Gothic" w:hAnsi="Century Gothic" w:cs="Arial"/>
                <w:lang w:val="fr-FR"/>
              </w:rPr>
              <w:t xml:space="preserve"> </w:t>
            </w:r>
            <w:r>
              <w:rPr>
                <w:rFonts w:ascii="Century Gothic" w:hAnsi="Century Gothic" w:cs="Arial"/>
                <w:lang w:val="fr-FR"/>
              </w:rPr>
              <w:tab/>
            </w:r>
            <w:r>
              <w:rPr>
                <w:rFonts w:ascii="Century Gothic" w:hAnsi="Century Gothic" w:cs="Arial"/>
                <w:lang w:val="fr-FR"/>
              </w:rPr>
              <w:tab/>
              <w:t xml:space="preserve"> 0,60—0,90% </w:t>
            </w:r>
            <w:r>
              <w:rPr>
                <w:rFonts w:ascii="Century Gothic" w:hAnsi="Century Gothic" w:cs="Arial"/>
                <w:lang w:val="fr-FR"/>
              </w:rPr>
              <w:br/>
            </w:r>
            <w:proofErr w:type="spellStart"/>
            <w:r>
              <w:rPr>
                <w:rFonts w:ascii="Century Gothic" w:hAnsi="Century Gothic" w:cs="Arial"/>
                <w:lang w:val="fr-FR"/>
              </w:rPr>
              <w:t>Silicon</w:t>
            </w:r>
            <w:proofErr w:type="spellEnd"/>
            <w:r>
              <w:rPr>
                <w:rFonts w:ascii="Century Gothic" w:hAnsi="Century Gothic" w:cs="Arial"/>
                <w:lang w:val="fr-FR"/>
              </w:rPr>
              <w:tab/>
            </w:r>
            <w:r>
              <w:rPr>
                <w:rFonts w:ascii="Century Gothic" w:hAnsi="Century Gothic" w:cs="Arial"/>
                <w:lang w:val="fr-FR"/>
              </w:rPr>
              <w:tab/>
            </w:r>
            <w:r>
              <w:rPr>
                <w:rFonts w:ascii="Century Gothic" w:hAnsi="Century Gothic" w:cs="Arial"/>
                <w:lang w:val="fr-FR"/>
              </w:rPr>
              <w:tab/>
              <w:t xml:space="preserve"> 0,15—0,35% </w:t>
            </w:r>
            <w:r>
              <w:rPr>
                <w:rFonts w:ascii="Century Gothic" w:hAnsi="Century Gothic" w:cs="Arial"/>
                <w:lang w:val="fr-FR"/>
              </w:rPr>
              <w:br/>
            </w:r>
            <w:proofErr w:type="spellStart"/>
            <w:r>
              <w:rPr>
                <w:rFonts w:ascii="Century Gothic" w:hAnsi="Century Gothic" w:cs="Arial"/>
                <w:lang w:val="fr-FR"/>
              </w:rPr>
              <w:t>Sulphur</w:t>
            </w:r>
            <w:proofErr w:type="spellEnd"/>
            <w:r>
              <w:rPr>
                <w:rFonts w:ascii="Century Gothic" w:hAnsi="Century Gothic" w:cs="Arial"/>
                <w:lang w:val="fr-FR"/>
              </w:rPr>
              <w:tab/>
            </w:r>
            <w:r>
              <w:rPr>
                <w:rFonts w:ascii="Century Gothic" w:hAnsi="Century Gothic" w:cs="Arial"/>
                <w:lang w:val="fr-FR"/>
              </w:rPr>
              <w:tab/>
              <w:t xml:space="preserve">              Max.0</w:t>
            </w:r>
            <w:proofErr w:type="gramStart"/>
            <w:r>
              <w:rPr>
                <w:rFonts w:ascii="Century Gothic" w:hAnsi="Century Gothic" w:cs="Arial"/>
                <w:lang w:val="fr-FR"/>
              </w:rPr>
              <w:t>,03</w:t>
            </w:r>
            <w:proofErr w:type="gramEnd"/>
            <w:r>
              <w:rPr>
                <w:rFonts w:ascii="Century Gothic" w:hAnsi="Century Gothic" w:cs="Arial"/>
                <w:lang w:val="fr-FR"/>
              </w:rPr>
              <w:t xml:space="preserve">% </w:t>
            </w:r>
            <w:r>
              <w:rPr>
                <w:rFonts w:ascii="Century Gothic" w:hAnsi="Century Gothic" w:cs="Arial"/>
                <w:lang w:val="fr-FR"/>
              </w:rPr>
              <w:br/>
            </w:r>
            <w:proofErr w:type="spellStart"/>
            <w:r>
              <w:rPr>
                <w:rFonts w:ascii="Century Gothic" w:hAnsi="Century Gothic" w:cs="Arial"/>
                <w:lang w:val="fr-FR"/>
              </w:rPr>
              <w:t>Phosphorus</w:t>
            </w:r>
            <w:proofErr w:type="spellEnd"/>
            <w:r>
              <w:rPr>
                <w:rFonts w:ascii="Century Gothic" w:hAnsi="Century Gothic" w:cs="Arial"/>
                <w:lang w:val="fr-FR"/>
              </w:rPr>
              <w:tab/>
            </w:r>
            <w:r>
              <w:rPr>
                <w:rFonts w:ascii="Century Gothic" w:hAnsi="Century Gothic" w:cs="Arial"/>
                <w:lang w:val="fr-FR"/>
              </w:rPr>
              <w:tab/>
              <w:t xml:space="preserve"> Max. 0, 03%</w:t>
            </w:r>
          </w:p>
          <w:p w:rsidR="00216366" w:rsidRDefault="00216366" w:rsidP="00D715FE">
            <w:r w:rsidRPr="00CE4C91">
              <w:rPr>
                <w:rFonts w:cs="Arial"/>
              </w:rPr>
              <w:t>.</w:t>
            </w:r>
          </w:p>
        </w:tc>
      </w:tr>
    </w:tbl>
    <w:p w:rsidR="00216366" w:rsidRDefault="00216366" w:rsidP="00216366"/>
    <w:p w:rsidR="00216366" w:rsidRDefault="00216366" w:rsidP="00216366"/>
    <w:p w:rsidR="00216366" w:rsidRDefault="00216366" w:rsidP="00216366"/>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980"/>
        <w:gridCol w:w="7128"/>
      </w:tblGrid>
      <w:tr w:rsidR="00216366" w:rsidTr="00D715FE">
        <w:tc>
          <w:tcPr>
            <w:tcW w:w="540" w:type="dxa"/>
          </w:tcPr>
          <w:p w:rsidR="00216366" w:rsidRPr="00A73861" w:rsidRDefault="00216366" w:rsidP="00D715FE">
            <w:pPr>
              <w:rPr>
                <w:b/>
              </w:rPr>
            </w:pPr>
          </w:p>
          <w:p w:rsidR="00216366" w:rsidRPr="00A73861" w:rsidRDefault="00216366" w:rsidP="00D715FE">
            <w:pPr>
              <w:rPr>
                <w:b/>
              </w:rPr>
            </w:pPr>
            <w:r w:rsidRPr="00A73861">
              <w:rPr>
                <w:b/>
              </w:rPr>
              <w:t>3.</w:t>
            </w:r>
          </w:p>
        </w:tc>
        <w:tc>
          <w:tcPr>
            <w:tcW w:w="1980" w:type="dxa"/>
          </w:tcPr>
          <w:p w:rsidR="00216366" w:rsidRPr="00A73861" w:rsidRDefault="00216366" w:rsidP="00D715FE">
            <w:pPr>
              <w:rPr>
                <w:b/>
              </w:rPr>
            </w:pPr>
          </w:p>
          <w:p w:rsidR="00216366" w:rsidRPr="00A73861" w:rsidRDefault="00216366" w:rsidP="00D715FE">
            <w:pPr>
              <w:rPr>
                <w:b/>
              </w:rPr>
            </w:pPr>
            <w:r w:rsidRPr="00A73861">
              <w:rPr>
                <w:b/>
              </w:rPr>
              <w:t>PHOTO</w:t>
            </w:r>
          </w:p>
        </w:tc>
        <w:tc>
          <w:tcPr>
            <w:tcW w:w="7128" w:type="dxa"/>
          </w:tcPr>
          <w:p w:rsidR="00216366" w:rsidRDefault="00216366" w:rsidP="00D715FE">
            <w:r>
              <w:rPr>
                <w:noProof/>
              </w:rPr>
              <w:drawing>
                <wp:inline distT="0" distB="0" distL="0" distR="0">
                  <wp:extent cx="4381500" cy="2819400"/>
                  <wp:effectExtent l="19050" t="0" r="0" b="0"/>
                  <wp:docPr id="1" name="Picture 1" descr="Photos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003"/>
                          <pic:cNvPicPr>
                            <a:picLocks noChangeAspect="1" noChangeArrowheads="1"/>
                          </pic:cNvPicPr>
                        </pic:nvPicPr>
                        <pic:blipFill>
                          <a:blip r:embed="rId7" cstate="print"/>
                          <a:srcRect/>
                          <a:stretch>
                            <a:fillRect/>
                          </a:stretch>
                        </pic:blipFill>
                        <pic:spPr bwMode="auto">
                          <a:xfrm>
                            <a:off x="0" y="0"/>
                            <a:ext cx="4381500" cy="2819400"/>
                          </a:xfrm>
                          <a:prstGeom prst="rect">
                            <a:avLst/>
                          </a:prstGeom>
                          <a:noFill/>
                          <a:ln w="9525">
                            <a:noFill/>
                            <a:miter lim="800000"/>
                            <a:headEnd/>
                            <a:tailEnd/>
                          </a:ln>
                        </pic:spPr>
                      </pic:pic>
                    </a:graphicData>
                  </a:graphic>
                </wp:inline>
              </w:drawing>
            </w:r>
          </w:p>
        </w:tc>
      </w:tr>
      <w:tr w:rsidR="00216366" w:rsidTr="00D715FE">
        <w:trPr>
          <w:trHeight w:val="288"/>
        </w:trPr>
        <w:tc>
          <w:tcPr>
            <w:tcW w:w="540" w:type="dxa"/>
            <w:vAlign w:val="center"/>
          </w:tcPr>
          <w:p w:rsidR="00216366" w:rsidRPr="00A73861" w:rsidRDefault="00216366" w:rsidP="00D715FE">
            <w:pPr>
              <w:jc w:val="left"/>
              <w:rPr>
                <w:b/>
              </w:rPr>
            </w:pPr>
            <w:r w:rsidRPr="00A73861">
              <w:rPr>
                <w:b/>
              </w:rPr>
              <w:t>4.</w:t>
            </w:r>
          </w:p>
        </w:tc>
        <w:tc>
          <w:tcPr>
            <w:tcW w:w="1980" w:type="dxa"/>
            <w:vAlign w:val="center"/>
          </w:tcPr>
          <w:p w:rsidR="00216366" w:rsidRPr="00A73861" w:rsidRDefault="00216366" w:rsidP="00D715FE">
            <w:pPr>
              <w:jc w:val="left"/>
              <w:rPr>
                <w:b/>
              </w:rPr>
            </w:pPr>
            <w:r w:rsidRPr="00A73861">
              <w:rPr>
                <w:b/>
              </w:rPr>
              <w:t>ORIGIN</w:t>
            </w:r>
          </w:p>
        </w:tc>
        <w:tc>
          <w:tcPr>
            <w:tcW w:w="7128" w:type="dxa"/>
            <w:vAlign w:val="center"/>
          </w:tcPr>
          <w:p w:rsidR="00216366" w:rsidRDefault="00216366" w:rsidP="00D715FE">
            <w:pPr>
              <w:jc w:val="left"/>
            </w:pPr>
            <w:smartTag w:uri="urn:schemas-microsoft-com:office:smarttags" w:element="country-region">
              <w:r>
                <w:t>United Kingdom</w:t>
              </w:r>
            </w:smartTag>
            <w:r>
              <w:t xml:space="preserve">, </w:t>
            </w:r>
            <w:smartTag w:uri="urn:schemas-microsoft-com:office:smarttags" w:element="place">
              <w:r>
                <w:t>Europe</w:t>
              </w:r>
            </w:smartTag>
            <w:r>
              <w:t xml:space="preserve"> or Seller’s option</w:t>
            </w:r>
          </w:p>
        </w:tc>
      </w:tr>
      <w:tr w:rsidR="00216366" w:rsidTr="00D715FE">
        <w:trPr>
          <w:trHeight w:val="288"/>
        </w:trPr>
        <w:tc>
          <w:tcPr>
            <w:tcW w:w="540" w:type="dxa"/>
            <w:vAlign w:val="center"/>
          </w:tcPr>
          <w:p w:rsidR="00216366" w:rsidRPr="00A73861" w:rsidRDefault="00216366" w:rsidP="00D715FE">
            <w:pPr>
              <w:jc w:val="left"/>
              <w:rPr>
                <w:b/>
              </w:rPr>
            </w:pPr>
            <w:r w:rsidRPr="00A73861">
              <w:rPr>
                <w:b/>
              </w:rPr>
              <w:t>5.</w:t>
            </w:r>
          </w:p>
        </w:tc>
        <w:tc>
          <w:tcPr>
            <w:tcW w:w="1980" w:type="dxa"/>
            <w:vAlign w:val="center"/>
          </w:tcPr>
          <w:p w:rsidR="00216366" w:rsidRPr="00A73861" w:rsidRDefault="00216366" w:rsidP="00D715FE">
            <w:pPr>
              <w:jc w:val="left"/>
              <w:rPr>
                <w:b/>
              </w:rPr>
            </w:pPr>
            <w:smartTag w:uri="urn:schemas-microsoft-com:office:smarttags" w:element="place">
              <w:smartTag w:uri="urn:schemas-microsoft-com:office:smarttags" w:element="PlaceName">
                <w:r w:rsidRPr="00A73861">
                  <w:rPr>
                    <w:b/>
                  </w:rPr>
                  <w:t>LOADING</w:t>
                </w:r>
              </w:smartTag>
              <w:r w:rsidRPr="00A73861">
                <w:rPr>
                  <w:b/>
                </w:rPr>
                <w:t xml:space="preserve"> </w:t>
              </w:r>
              <w:smartTag w:uri="urn:schemas-microsoft-com:office:smarttags" w:element="PlaceType">
                <w:r w:rsidRPr="00A73861">
                  <w:rPr>
                    <w:b/>
                  </w:rPr>
                  <w:t>PORT</w:t>
                </w:r>
              </w:smartTag>
            </w:smartTag>
          </w:p>
        </w:tc>
        <w:tc>
          <w:tcPr>
            <w:tcW w:w="7128" w:type="dxa"/>
            <w:vAlign w:val="center"/>
          </w:tcPr>
          <w:p w:rsidR="00216366" w:rsidRDefault="00216366" w:rsidP="00D715FE">
            <w:pPr>
              <w:jc w:val="left"/>
            </w:pPr>
            <w:smartTag w:uri="urn:schemas-microsoft-com:office:smarttags" w:element="place">
              <w:r>
                <w:t>Nottingham</w:t>
              </w:r>
            </w:smartTag>
            <w:r>
              <w:t xml:space="preserve"> or seller’s option</w:t>
            </w:r>
          </w:p>
        </w:tc>
      </w:tr>
      <w:tr w:rsidR="00216366" w:rsidTr="00D715FE">
        <w:trPr>
          <w:trHeight w:val="288"/>
        </w:trPr>
        <w:tc>
          <w:tcPr>
            <w:tcW w:w="540" w:type="dxa"/>
            <w:vAlign w:val="center"/>
          </w:tcPr>
          <w:p w:rsidR="00216366" w:rsidRPr="00A73861" w:rsidRDefault="00216366" w:rsidP="00D715FE">
            <w:pPr>
              <w:jc w:val="left"/>
              <w:rPr>
                <w:b/>
              </w:rPr>
            </w:pPr>
            <w:r w:rsidRPr="00A73861">
              <w:rPr>
                <w:b/>
              </w:rPr>
              <w:t>6.</w:t>
            </w:r>
          </w:p>
        </w:tc>
        <w:tc>
          <w:tcPr>
            <w:tcW w:w="1980" w:type="dxa"/>
            <w:vAlign w:val="center"/>
          </w:tcPr>
          <w:p w:rsidR="00216366" w:rsidRPr="00A73861" w:rsidRDefault="00216366" w:rsidP="00D715FE">
            <w:pPr>
              <w:jc w:val="left"/>
              <w:rPr>
                <w:b/>
              </w:rPr>
            </w:pPr>
            <w:r w:rsidRPr="00A73861">
              <w:rPr>
                <w:b/>
              </w:rPr>
              <w:t>QUANTITY</w:t>
            </w:r>
          </w:p>
        </w:tc>
        <w:tc>
          <w:tcPr>
            <w:tcW w:w="7128" w:type="dxa"/>
            <w:vAlign w:val="center"/>
          </w:tcPr>
          <w:p w:rsidR="00216366" w:rsidRDefault="00216366" w:rsidP="00D715FE">
            <w:pPr>
              <w:jc w:val="left"/>
            </w:pPr>
            <w:r>
              <w:t>30,000 MT X 12 months with 1</w:t>
            </w:r>
            <w:r w:rsidRPr="00156763">
              <w:rPr>
                <w:vertAlign w:val="superscript"/>
              </w:rPr>
              <w:t>st</w:t>
            </w:r>
            <w:r>
              <w:t xml:space="preserve"> shipment as trial</w:t>
            </w:r>
          </w:p>
        </w:tc>
      </w:tr>
      <w:tr w:rsidR="00216366" w:rsidTr="00D715FE">
        <w:trPr>
          <w:trHeight w:val="288"/>
        </w:trPr>
        <w:tc>
          <w:tcPr>
            <w:tcW w:w="540" w:type="dxa"/>
            <w:vAlign w:val="center"/>
          </w:tcPr>
          <w:p w:rsidR="00216366" w:rsidRPr="00A73861" w:rsidRDefault="00216366" w:rsidP="00D715FE">
            <w:pPr>
              <w:jc w:val="left"/>
              <w:rPr>
                <w:b/>
              </w:rPr>
            </w:pPr>
            <w:r w:rsidRPr="00A73861">
              <w:rPr>
                <w:b/>
              </w:rPr>
              <w:t>7.</w:t>
            </w:r>
          </w:p>
        </w:tc>
        <w:tc>
          <w:tcPr>
            <w:tcW w:w="1980" w:type="dxa"/>
            <w:vAlign w:val="center"/>
          </w:tcPr>
          <w:p w:rsidR="00216366" w:rsidRPr="00A73861" w:rsidRDefault="00216366" w:rsidP="00D715FE">
            <w:pPr>
              <w:jc w:val="left"/>
              <w:rPr>
                <w:b/>
              </w:rPr>
            </w:pPr>
            <w:r w:rsidRPr="00A73861">
              <w:rPr>
                <w:b/>
              </w:rPr>
              <w:t>UNIT PRICE</w:t>
            </w:r>
          </w:p>
        </w:tc>
        <w:tc>
          <w:tcPr>
            <w:tcW w:w="7128" w:type="dxa"/>
            <w:vAlign w:val="center"/>
          </w:tcPr>
          <w:p w:rsidR="00216366" w:rsidRDefault="00216366" w:rsidP="00D715FE">
            <w:pPr>
              <w:jc w:val="left"/>
            </w:pPr>
            <w:r>
              <w:t>USD322 per Metric tons</w:t>
            </w:r>
          </w:p>
        </w:tc>
      </w:tr>
      <w:tr w:rsidR="00216366" w:rsidTr="00D715FE">
        <w:trPr>
          <w:trHeight w:val="288"/>
        </w:trPr>
        <w:tc>
          <w:tcPr>
            <w:tcW w:w="540" w:type="dxa"/>
            <w:vAlign w:val="center"/>
          </w:tcPr>
          <w:p w:rsidR="00216366" w:rsidRPr="00A73861" w:rsidRDefault="00216366" w:rsidP="00D715FE">
            <w:pPr>
              <w:jc w:val="left"/>
              <w:rPr>
                <w:b/>
              </w:rPr>
            </w:pPr>
            <w:r w:rsidRPr="00A73861">
              <w:rPr>
                <w:b/>
              </w:rPr>
              <w:t>8.</w:t>
            </w:r>
          </w:p>
        </w:tc>
        <w:tc>
          <w:tcPr>
            <w:tcW w:w="1980" w:type="dxa"/>
            <w:vAlign w:val="center"/>
          </w:tcPr>
          <w:p w:rsidR="00216366" w:rsidRPr="00A73861" w:rsidRDefault="00216366" w:rsidP="00D715FE">
            <w:pPr>
              <w:jc w:val="left"/>
              <w:rPr>
                <w:b/>
                <w:sz w:val="18"/>
                <w:szCs w:val="18"/>
              </w:rPr>
            </w:pPr>
            <w:r w:rsidRPr="00A73861">
              <w:rPr>
                <w:b/>
                <w:sz w:val="18"/>
                <w:szCs w:val="18"/>
              </w:rPr>
              <w:t>CONTRACT VALUE</w:t>
            </w:r>
          </w:p>
        </w:tc>
        <w:tc>
          <w:tcPr>
            <w:tcW w:w="7128" w:type="dxa"/>
            <w:vAlign w:val="center"/>
          </w:tcPr>
          <w:p w:rsidR="00216366" w:rsidRDefault="00216366" w:rsidP="00D715FE">
            <w:pPr>
              <w:jc w:val="left"/>
            </w:pPr>
          </w:p>
        </w:tc>
      </w:tr>
      <w:tr w:rsidR="00216366" w:rsidTr="00D715FE">
        <w:trPr>
          <w:trHeight w:val="288"/>
        </w:trPr>
        <w:tc>
          <w:tcPr>
            <w:tcW w:w="540" w:type="dxa"/>
            <w:vAlign w:val="center"/>
          </w:tcPr>
          <w:p w:rsidR="00216366" w:rsidRPr="00A73861" w:rsidRDefault="00216366" w:rsidP="00D715FE">
            <w:pPr>
              <w:jc w:val="left"/>
              <w:rPr>
                <w:b/>
                <w:sz w:val="18"/>
                <w:szCs w:val="18"/>
              </w:rPr>
            </w:pPr>
            <w:r w:rsidRPr="00A73861">
              <w:rPr>
                <w:b/>
                <w:sz w:val="18"/>
                <w:szCs w:val="18"/>
              </w:rPr>
              <w:t>9.</w:t>
            </w:r>
          </w:p>
        </w:tc>
        <w:tc>
          <w:tcPr>
            <w:tcW w:w="1980" w:type="dxa"/>
            <w:vAlign w:val="center"/>
          </w:tcPr>
          <w:p w:rsidR="00216366" w:rsidRPr="00A73861" w:rsidRDefault="00216366" w:rsidP="00D715FE">
            <w:pPr>
              <w:jc w:val="left"/>
              <w:rPr>
                <w:b/>
                <w:sz w:val="18"/>
                <w:szCs w:val="18"/>
              </w:rPr>
            </w:pPr>
            <w:r w:rsidRPr="00A73861">
              <w:rPr>
                <w:b/>
                <w:sz w:val="18"/>
                <w:szCs w:val="18"/>
              </w:rPr>
              <w:t>CONTRACT PERIOD</w:t>
            </w:r>
          </w:p>
        </w:tc>
        <w:tc>
          <w:tcPr>
            <w:tcW w:w="7128" w:type="dxa"/>
            <w:vAlign w:val="center"/>
          </w:tcPr>
          <w:p w:rsidR="00216366" w:rsidRDefault="00216366" w:rsidP="00D715FE">
            <w:pPr>
              <w:jc w:val="left"/>
            </w:pPr>
            <w:r>
              <w:t>12 months</w:t>
            </w:r>
          </w:p>
        </w:tc>
      </w:tr>
      <w:tr w:rsidR="00216366" w:rsidTr="00D715FE">
        <w:trPr>
          <w:trHeight w:val="288"/>
        </w:trPr>
        <w:tc>
          <w:tcPr>
            <w:tcW w:w="540" w:type="dxa"/>
            <w:vAlign w:val="center"/>
          </w:tcPr>
          <w:p w:rsidR="00216366" w:rsidRPr="00A73861" w:rsidRDefault="00216366" w:rsidP="00D715FE">
            <w:pPr>
              <w:jc w:val="left"/>
              <w:rPr>
                <w:b/>
              </w:rPr>
            </w:pPr>
            <w:r w:rsidRPr="00A73861">
              <w:rPr>
                <w:b/>
              </w:rPr>
              <w:t>10.</w:t>
            </w:r>
          </w:p>
        </w:tc>
        <w:tc>
          <w:tcPr>
            <w:tcW w:w="1980" w:type="dxa"/>
            <w:vAlign w:val="center"/>
          </w:tcPr>
          <w:p w:rsidR="00216366" w:rsidRPr="00A73861" w:rsidRDefault="00216366" w:rsidP="00D715FE">
            <w:pPr>
              <w:jc w:val="left"/>
              <w:rPr>
                <w:b/>
              </w:rPr>
            </w:pPr>
            <w:r w:rsidRPr="00A73861">
              <w:rPr>
                <w:b/>
              </w:rPr>
              <w:t>MONTHLY VALUE</w:t>
            </w:r>
          </w:p>
        </w:tc>
        <w:tc>
          <w:tcPr>
            <w:tcW w:w="7128" w:type="dxa"/>
            <w:vAlign w:val="center"/>
          </w:tcPr>
          <w:p w:rsidR="00216366" w:rsidRDefault="00216366" w:rsidP="00D715FE">
            <w:pPr>
              <w:jc w:val="left"/>
            </w:pPr>
          </w:p>
        </w:tc>
      </w:tr>
      <w:tr w:rsidR="00216366" w:rsidTr="00D715FE">
        <w:trPr>
          <w:trHeight w:val="288"/>
        </w:trPr>
        <w:tc>
          <w:tcPr>
            <w:tcW w:w="540" w:type="dxa"/>
            <w:vAlign w:val="center"/>
          </w:tcPr>
          <w:p w:rsidR="00216366" w:rsidRPr="00A73861" w:rsidRDefault="00216366" w:rsidP="00D715FE">
            <w:pPr>
              <w:jc w:val="left"/>
              <w:rPr>
                <w:b/>
              </w:rPr>
            </w:pPr>
            <w:r>
              <w:rPr>
                <w:b/>
              </w:rPr>
              <w:t>11.</w:t>
            </w:r>
          </w:p>
        </w:tc>
        <w:tc>
          <w:tcPr>
            <w:tcW w:w="1980" w:type="dxa"/>
            <w:vAlign w:val="center"/>
          </w:tcPr>
          <w:p w:rsidR="00216366" w:rsidRPr="00A73861" w:rsidRDefault="00216366" w:rsidP="00D715FE">
            <w:pPr>
              <w:jc w:val="left"/>
              <w:rPr>
                <w:b/>
              </w:rPr>
            </w:pPr>
            <w:r>
              <w:rPr>
                <w:b/>
              </w:rPr>
              <w:t>DISCOUNT</w:t>
            </w:r>
          </w:p>
        </w:tc>
        <w:tc>
          <w:tcPr>
            <w:tcW w:w="7128" w:type="dxa"/>
            <w:vAlign w:val="center"/>
          </w:tcPr>
          <w:p w:rsidR="00216366" w:rsidRDefault="00216366" w:rsidP="00D715FE">
            <w:pPr>
              <w:jc w:val="left"/>
            </w:pPr>
            <w:r>
              <w:t>NONE</w:t>
            </w:r>
          </w:p>
        </w:tc>
      </w:tr>
      <w:tr w:rsidR="00216366" w:rsidTr="00D715FE">
        <w:trPr>
          <w:trHeight w:val="288"/>
        </w:trPr>
        <w:tc>
          <w:tcPr>
            <w:tcW w:w="540" w:type="dxa"/>
            <w:vAlign w:val="center"/>
          </w:tcPr>
          <w:p w:rsidR="00216366" w:rsidRPr="00A73861" w:rsidRDefault="00216366" w:rsidP="00D715FE">
            <w:pPr>
              <w:jc w:val="left"/>
              <w:rPr>
                <w:b/>
              </w:rPr>
            </w:pPr>
            <w:r>
              <w:rPr>
                <w:b/>
              </w:rPr>
              <w:t>12.</w:t>
            </w:r>
          </w:p>
        </w:tc>
        <w:tc>
          <w:tcPr>
            <w:tcW w:w="1980" w:type="dxa"/>
            <w:vAlign w:val="center"/>
          </w:tcPr>
          <w:p w:rsidR="00216366" w:rsidRPr="00A73861" w:rsidRDefault="00216366" w:rsidP="00D715FE">
            <w:pPr>
              <w:jc w:val="left"/>
              <w:rPr>
                <w:b/>
              </w:rPr>
            </w:pPr>
            <w:r>
              <w:rPr>
                <w:b/>
              </w:rPr>
              <w:t>PACKAGING</w:t>
            </w:r>
          </w:p>
        </w:tc>
        <w:tc>
          <w:tcPr>
            <w:tcW w:w="7128" w:type="dxa"/>
            <w:vAlign w:val="center"/>
          </w:tcPr>
          <w:p w:rsidR="00216366" w:rsidRDefault="00216366" w:rsidP="00D715FE">
            <w:pPr>
              <w:jc w:val="left"/>
            </w:pPr>
            <w:r>
              <w:t>Bulk</w:t>
            </w:r>
          </w:p>
        </w:tc>
      </w:tr>
      <w:tr w:rsidR="00216366" w:rsidTr="00D715FE">
        <w:trPr>
          <w:trHeight w:val="288"/>
        </w:trPr>
        <w:tc>
          <w:tcPr>
            <w:tcW w:w="540" w:type="dxa"/>
            <w:vAlign w:val="center"/>
          </w:tcPr>
          <w:p w:rsidR="00216366" w:rsidRPr="00A73861" w:rsidRDefault="00216366" w:rsidP="00D715FE">
            <w:pPr>
              <w:jc w:val="left"/>
              <w:rPr>
                <w:b/>
              </w:rPr>
            </w:pPr>
            <w:r>
              <w:rPr>
                <w:b/>
              </w:rPr>
              <w:t>13.</w:t>
            </w:r>
          </w:p>
        </w:tc>
        <w:tc>
          <w:tcPr>
            <w:tcW w:w="1980" w:type="dxa"/>
            <w:vAlign w:val="center"/>
          </w:tcPr>
          <w:p w:rsidR="00216366" w:rsidRPr="00A73861" w:rsidRDefault="00216366" w:rsidP="00D715FE">
            <w:pPr>
              <w:jc w:val="left"/>
              <w:rPr>
                <w:b/>
              </w:rPr>
            </w:pPr>
            <w:r>
              <w:rPr>
                <w:b/>
              </w:rPr>
              <w:t>LENGTH</w:t>
            </w:r>
          </w:p>
        </w:tc>
        <w:tc>
          <w:tcPr>
            <w:tcW w:w="7128" w:type="dxa"/>
            <w:vAlign w:val="center"/>
          </w:tcPr>
          <w:p w:rsidR="00216366" w:rsidRDefault="00216366" w:rsidP="00D715FE">
            <w:pPr>
              <w:jc w:val="left"/>
            </w:pPr>
            <w:r>
              <w:t>6 to 12 Meters</w:t>
            </w:r>
          </w:p>
        </w:tc>
      </w:tr>
      <w:tr w:rsidR="00216366" w:rsidTr="00D715FE">
        <w:trPr>
          <w:trHeight w:val="288"/>
        </w:trPr>
        <w:tc>
          <w:tcPr>
            <w:tcW w:w="540" w:type="dxa"/>
            <w:vAlign w:val="center"/>
          </w:tcPr>
          <w:p w:rsidR="00216366" w:rsidRDefault="00216366" w:rsidP="00D715FE">
            <w:pPr>
              <w:jc w:val="left"/>
              <w:rPr>
                <w:b/>
              </w:rPr>
            </w:pPr>
            <w:r>
              <w:rPr>
                <w:b/>
              </w:rPr>
              <w:t>14.</w:t>
            </w:r>
          </w:p>
        </w:tc>
        <w:tc>
          <w:tcPr>
            <w:tcW w:w="1980" w:type="dxa"/>
            <w:vAlign w:val="center"/>
          </w:tcPr>
          <w:p w:rsidR="00216366" w:rsidRDefault="00216366" w:rsidP="00D715FE">
            <w:pPr>
              <w:jc w:val="left"/>
              <w:rPr>
                <w:b/>
              </w:rPr>
            </w:pPr>
            <w:smartTag w:uri="urn:schemas-microsoft-com:office:smarttags" w:element="place">
              <w:smartTag w:uri="urn:schemas-microsoft-com:office:smarttags" w:element="PlaceName">
                <w:r>
                  <w:rPr>
                    <w:b/>
                  </w:rPr>
                  <w:t>DISCHARGE</w:t>
                </w:r>
              </w:smartTag>
              <w:r>
                <w:rPr>
                  <w:b/>
                </w:rPr>
                <w:t xml:space="preserve"> </w:t>
              </w:r>
              <w:smartTag w:uri="urn:schemas-microsoft-com:office:smarttags" w:element="PlaceType">
                <w:r>
                  <w:rPr>
                    <w:b/>
                  </w:rPr>
                  <w:t>PORT</w:t>
                </w:r>
              </w:smartTag>
            </w:smartTag>
          </w:p>
        </w:tc>
        <w:tc>
          <w:tcPr>
            <w:tcW w:w="7128" w:type="dxa"/>
            <w:vAlign w:val="center"/>
          </w:tcPr>
          <w:p w:rsidR="00216366" w:rsidRDefault="00216366" w:rsidP="00D715FE">
            <w:pPr>
              <w:jc w:val="left"/>
            </w:pPr>
          </w:p>
        </w:tc>
      </w:tr>
      <w:tr w:rsidR="00216366" w:rsidTr="00D715FE">
        <w:tc>
          <w:tcPr>
            <w:tcW w:w="540" w:type="dxa"/>
            <w:vAlign w:val="center"/>
          </w:tcPr>
          <w:p w:rsidR="00216366" w:rsidRDefault="00216366" w:rsidP="00D715FE">
            <w:pPr>
              <w:jc w:val="left"/>
              <w:rPr>
                <w:b/>
              </w:rPr>
            </w:pPr>
            <w:r>
              <w:rPr>
                <w:b/>
              </w:rPr>
              <w:t>15.</w:t>
            </w:r>
          </w:p>
        </w:tc>
        <w:tc>
          <w:tcPr>
            <w:tcW w:w="1980" w:type="dxa"/>
            <w:vAlign w:val="center"/>
          </w:tcPr>
          <w:p w:rsidR="00216366" w:rsidRDefault="00216366" w:rsidP="00D715FE">
            <w:pPr>
              <w:jc w:val="left"/>
              <w:rPr>
                <w:b/>
              </w:rPr>
            </w:pPr>
            <w:r>
              <w:rPr>
                <w:b/>
              </w:rPr>
              <w:t>INSPECTION</w:t>
            </w:r>
          </w:p>
        </w:tc>
        <w:tc>
          <w:tcPr>
            <w:tcW w:w="7128" w:type="dxa"/>
            <w:vAlign w:val="center"/>
          </w:tcPr>
          <w:p w:rsidR="00216366" w:rsidRPr="00396EAB" w:rsidRDefault="00216366" w:rsidP="00D715FE">
            <w:pPr>
              <w:jc w:val="left"/>
              <w:rPr>
                <w:sz w:val="22"/>
                <w:szCs w:val="22"/>
              </w:rPr>
            </w:pPr>
            <w:r w:rsidRPr="00396EAB">
              <w:rPr>
                <w:rFonts w:cs="Arial"/>
                <w:sz w:val="22"/>
                <w:szCs w:val="22"/>
              </w:rPr>
              <w:t>Inspection shall be a</w:t>
            </w:r>
            <w:r>
              <w:rPr>
                <w:rFonts w:cs="Arial"/>
                <w:sz w:val="22"/>
                <w:szCs w:val="22"/>
              </w:rPr>
              <w:t xml:space="preserve">t port of loading by </w:t>
            </w:r>
            <w:proofErr w:type="gramStart"/>
            <w:r>
              <w:rPr>
                <w:rFonts w:cs="Arial"/>
                <w:sz w:val="22"/>
                <w:szCs w:val="22"/>
              </w:rPr>
              <w:t xml:space="preserve">SGS </w:t>
            </w:r>
            <w:r w:rsidRPr="00396EAB">
              <w:rPr>
                <w:rFonts w:cs="Arial"/>
                <w:sz w:val="22"/>
                <w:szCs w:val="22"/>
              </w:rPr>
              <w:t xml:space="preserve"> appointed</w:t>
            </w:r>
            <w:proofErr w:type="gramEnd"/>
            <w:r w:rsidRPr="00396EAB">
              <w:rPr>
                <w:rFonts w:cs="Arial"/>
                <w:sz w:val="22"/>
                <w:szCs w:val="22"/>
              </w:rPr>
              <w:t xml:space="preserve"> by Seller under supervision of the Buyer’s representative. Other than SGS is welcome on Buyer’s cost.</w:t>
            </w:r>
          </w:p>
        </w:tc>
      </w:tr>
    </w:tbl>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980"/>
        <w:gridCol w:w="7128"/>
      </w:tblGrid>
      <w:tr w:rsidR="00216366" w:rsidTr="00D715FE">
        <w:trPr>
          <w:trHeight w:val="288"/>
        </w:trPr>
        <w:tc>
          <w:tcPr>
            <w:tcW w:w="540" w:type="dxa"/>
            <w:vAlign w:val="center"/>
          </w:tcPr>
          <w:p w:rsidR="00216366" w:rsidRPr="00C32B8C" w:rsidRDefault="00216366" w:rsidP="00D715FE">
            <w:pPr>
              <w:jc w:val="left"/>
              <w:rPr>
                <w:b/>
              </w:rPr>
            </w:pPr>
            <w:r w:rsidRPr="00C32B8C">
              <w:rPr>
                <w:b/>
              </w:rPr>
              <w:lastRenderedPageBreak/>
              <w:t>16.</w:t>
            </w:r>
          </w:p>
        </w:tc>
        <w:tc>
          <w:tcPr>
            <w:tcW w:w="1980" w:type="dxa"/>
            <w:vAlign w:val="center"/>
          </w:tcPr>
          <w:p w:rsidR="00216366" w:rsidRPr="00C32B8C" w:rsidRDefault="00216366" w:rsidP="00D715FE">
            <w:pPr>
              <w:jc w:val="left"/>
              <w:rPr>
                <w:b/>
              </w:rPr>
            </w:pPr>
            <w:r w:rsidRPr="00C32B8C">
              <w:rPr>
                <w:b/>
              </w:rPr>
              <w:t>PROOF of PRODUCT</w:t>
            </w:r>
          </w:p>
        </w:tc>
        <w:tc>
          <w:tcPr>
            <w:tcW w:w="7128" w:type="dxa"/>
            <w:vAlign w:val="center"/>
          </w:tcPr>
          <w:p w:rsidR="00216366" w:rsidRDefault="00216366" w:rsidP="00D715FE">
            <w:pPr>
              <w:spacing w:before="120"/>
            </w:pPr>
            <w:r>
              <w:rPr>
                <w:rFonts w:cs="Arial"/>
                <w:lang w:eastAsia="zh-CN"/>
              </w:rPr>
              <w:t xml:space="preserve">Full </w:t>
            </w:r>
            <w:r>
              <w:rPr>
                <w:rFonts w:cs="Arial"/>
              </w:rPr>
              <w:t xml:space="preserve">Proof of Product shall be provided by the Seller within 10 days after </w:t>
            </w:r>
            <w:r>
              <w:rPr>
                <w:rFonts w:cs="Arial"/>
                <w:lang w:eastAsia="zh-CN"/>
              </w:rPr>
              <w:t>Seller</w:t>
            </w:r>
            <w:r>
              <w:rPr>
                <w:rFonts w:cs="Arial"/>
                <w:b/>
                <w:bCs/>
              </w:rPr>
              <w:t xml:space="preserve"> </w:t>
            </w:r>
            <w:r>
              <w:rPr>
                <w:rFonts w:cs="Arial"/>
              </w:rPr>
              <w:t xml:space="preserve">receipt of the operative financial instrument confirmed to seller’s bank. The Seller shall then issue to buyer verifiable proof of products Certificates detailing allocation of stocks batch numbers, Quantity, weight, Charter Party Agreement, Export License and  Insurance binder covering this contract quantity under executed contract number via bank to bank. </w:t>
            </w:r>
          </w:p>
        </w:tc>
      </w:tr>
      <w:tr w:rsidR="00216366" w:rsidTr="00D715FE">
        <w:trPr>
          <w:trHeight w:val="288"/>
        </w:trPr>
        <w:tc>
          <w:tcPr>
            <w:tcW w:w="540" w:type="dxa"/>
            <w:vAlign w:val="center"/>
          </w:tcPr>
          <w:p w:rsidR="00216366" w:rsidRPr="00C32B8C" w:rsidRDefault="00216366" w:rsidP="00D715FE">
            <w:pPr>
              <w:jc w:val="left"/>
              <w:rPr>
                <w:b/>
              </w:rPr>
            </w:pPr>
            <w:r w:rsidRPr="00C32B8C">
              <w:rPr>
                <w:b/>
              </w:rPr>
              <w:t>17.</w:t>
            </w:r>
          </w:p>
        </w:tc>
        <w:tc>
          <w:tcPr>
            <w:tcW w:w="1980" w:type="dxa"/>
            <w:vAlign w:val="center"/>
          </w:tcPr>
          <w:p w:rsidR="00216366" w:rsidRPr="00C32B8C" w:rsidRDefault="00216366" w:rsidP="00D715FE">
            <w:pPr>
              <w:jc w:val="left"/>
              <w:rPr>
                <w:b/>
              </w:rPr>
            </w:pPr>
            <w:r w:rsidRPr="00C32B8C">
              <w:rPr>
                <w:b/>
              </w:rPr>
              <w:t>PAYMENT TERMS</w:t>
            </w:r>
          </w:p>
        </w:tc>
        <w:tc>
          <w:tcPr>
            <w:tcW w:w="7128" w:type="dxa"/>
            <w:vAlign w:val="center"/>
          </w:tcPr>
          <w:p w:rsidR="00216366" w:rsidRDefault="00216366" w:rsidP="00D715FE">
            <w:pPr>
              <w:spacing w:after="120"/>
            </w:pPr>
          </w:p>
          <w:p w:rsidR="00216366" w:rsidRPr="002C3957" w:rsidRDefault="00216366" w:rsidP="00D715FE">
            <w:pPr>
              <w:spacing w:after="120"/>
              <w:rPr>
                <w:rFonts w:cs="Arial"/>
                <w:lang w:eastAsia="zh-CN"/>
              </w:rPr>
            </w:pPr>
            <w:proofErr w:type="gramStart"/>
            <w:r>
              <w:t>An  irrevocable</w:t>
            </w:r>
            <w:proofErr w:type="gramEnd"/>
            <w:r>
              <w:t>, fully funded, transferable Letter of Credit payable 100% at sight against</w:t>
            </w:r>
            <w:r>
              <w:rPr>
                <w:vanish/>
              </w:rPr>
              <w:t xml:space="preserve"> of Credit transferable, e final contract.</w:t>
            </w:r>
            <w:r>
              <w:t xml:space="preserve"> documents at loading port.</w:t>
            </w:r>
            <w:r>
              <w:rPr>
                <w:rFonts w:cs="Arial"/>
                <w:lang w:eastAsia="zh-CN"/>
              </w:rPr>
              <w:t xml:space="preserve"> The Letter of Credit shall cover the value of one shipment and is subject to approval by the</w:t>
            </w:r>
            <w:r>
              <w:rPr>
                <w:rFonts w:cs="Arial"/>
                <w:caps/>
                <w:lang w:eastAsia="zh-CN"/>
              </w:rPr>
              <w:t xml:space="preserve"> SELLER’S APPOINTED BANK.</w:t>
            </w:r>
            <w:r>
              <w:rPr>
                <w:rFonts w:cs="Arial"/>
                <w:b/>
                <w:caps/>
                <w:lang w:eastAsia="zh-CN"/>
              </w:rPr>
              <w:t xml:space="preserve">  </w:t>
            </w:r>
            <w:r>
              <w:rPr>
                <w:rFonts w:cs="Arial"/>
                <w:lang w:eastAsia="zh-CN"/>
              </w:rPr>
              <w:t>All bank charges accrued at the Buyer’s bank regarding the opening of the Letter of Credit are for the buyer’s account.</w:t>
            </w:r>
          </w:p>
        </w:tc>
      </w:tr>
      <w:tr w:rsidR="00216366" w:rsidTr="00D715FE">
        <w:trPr>
          <w:trHeight w:val="288"/>
        </w:trPr>
        <w:tc>
          <w:tcPr>
            <w:tcW w:w="540" w:type="dxa"/>
            <w:vAlign w:val="center"/>
          </w:tcPr>
          <w:p w:rsidR="00216366" w:rsidRPr="00C32B8C" w:rsidRDefault="00216366" w:rsidP="00D715FE">
            <w:pPr>
              <w:jc w:val="left"/>
              <w:rPr>
                <w:b/>
              </w:rPr>
            </w:pPr>
            <w:r w:rsidRPr="00C32B8C">
              <w:rPr>
                <w:b/>
              </w:rPr>
              <w:t>18.</w:t>
            </w:r>
          </w:p>
        </w:tc>
        <w:tc>
          <w:tcPr>
            <w:tcW w:w="1980" w:type="dxa"/>
            <w:vAlign w:val="center"/>
          </w:tcPr>
          <w:p w:rsidR="00216366" w:rsidRPr="00C32B8C" w:rsidRDefault="00216366" w:rsidP="00D715FE">
            <w:pPr>
              <w:jc w:val="left"/>
              <w:rPr>
                <w:b/>
              </w:rPr>
            </w:pPr>
            <w:r w:rsidRPr="00C32B8C">
              <w:rPr>
                <w:b/>
              </w:rPr>
              <w:t>PERFORMANCE BOND</w:t>
            </w:r>
          </w:p>
        </w:tc>
        <w:tc>
          <w:tcPr>
            <w:tcW w:w="7128" w:type="dxa"/>
            <w:vAlign w:val="center"/>
          </w:tcPr>
          <w:p w:rsidR="00216366" w:rsidRPr="00C32B8C" w:rsidRDefault="00216366" w:rsidP="00D715FE">
            <w:pPr>
              <w:spacing w:before="120"/>
              <w:rPr>
                <w:rFonts w:cs="Arial"/>
                <w:b/>
                <w:u w:val="single"/>
              </w:rPr>
            </w:pPr>
            <w:r>
              <w:rPr>
                <w:rFonts w:cs="Arial"/>
                <w:lang w:eastAsia="zh-CN"/>
              </w:rPr>
              <w:t>Seller shall post an Operative Performance Bond amounting to Two percent (2%) of the monthly shipment value and  POP via bank to bank and shall be issued within Ten (10) banking days after  receipt of the buyer’s Operative financial instrument to the Seller’s Bank. Verbiage of the Letter of Credit must be acceptable to the Seller.</w:t>
            </w:r>
          </w:p>
          <w:p w:rsidR="00216366" w:rsidRDefault="00216366" w:rsidP="00D715FE">
            <w:pPr>
              <w:jc w:val="left"/>
            </w:pPr>
          </w:p>
        </w:tc>
      </w:tr>
      <w:tr w:rsidR="00216366" w:rsidTr="00D715FE">
        <w:trPr>
          <w:trHeight w:val="288"/>
        </w:trPr>
        <w:tc>
          <w:tcPr>
            <w:tcW w:w="540" w:type="dxa"/>
            <w:vAlign w:val="center"/>
          </w:tcPr>
          <w:p w:rsidR="00216366" w:rsidRPr="00C32B8C" w:rsidRDefault="00216366" w:rsidP="00D715FE">
            <w:pPr>
              <w:jc w:val="left"/>
              <w:rPr>
                <w:b/>
              </w:rPr>
            </w:pPr>
            <w:r w:rsidRPr="00C32B8C">
              <w:rPr>
                <w:b/>
              </w:rPr>
              <w:t>19.</w:t>
            </w:r>
          </w:p>
        </w:tc>
        <w:tc>
          <w:tcPr>
            <w:tcW w:w="1980" w:type="dxa"/>
            <w:vAlign w:val="center"/>
          </w:tcPr>
          <w:p w:rsidR="00216366" w:rsidRPr="00C32B8C" w:rsidRDefault="00216366" w:rsidP="00D715FE">
            <w:pPr>
              <w:jc w:val="left"/>
              <w:rPr>
                <w:b/>
              </w:rPr>
            </w:pPr>
            <w:r w:rsidRPr="00C32B8C">
              <w:rPr>
                <w:b/>
              </w:rPr>
              <w:t>NCND</w:t>
            </w:r>
          </w:p>
        </w:tc>
        <w:tc>
          <w:tcPr>
            <w:tcW w:w="7128" w:type="dxa"/>
            <w:vAlign w:val="center"/>
          </w:tcPr>
          <w:p w:rsidR="00216366" w:rsidRPr="00C32B8C" w:rsidRDefault="00216366" w:rsidP="00D715FE">
            <w:pPr>
              <w:rPr>
                <w:rFonts w:cs="Arial"/>
              </w:rPr>
            </w:pPr>
          </w:p>
          <w:p w:rsidR="00216366" w:rsidRPr="00C32B8C" w:rsidRDefault="00216366" w:rsidP="00D715FE">
            <w:pPr>
              <w:rPr>
                <w:rFonts w:cs="Arial"/>
              </w:rPr>
            </w:pPr>
            <w:r w:rsidRPr="00C32B8C">
              <w:rPr>
                <w:rFonts w:cs="Arial"/>
              </w:rPr>
              <w:t>This agreement includes by reference and incorporates the Standard International Non-Circumvention Agreement and conditions as set forth by International Chamber of Commerce (ICC Publication 500, revision 1994) and pertains to any introduction of persons or product to Buyer/Seller by Buyer/Seller or Seller/Buyer’s agents at any stage for a period of five (5) years from date hereof.</w:t>
            </w:r>
          </w:p>
          <w:p w:rsidR="00216366" w:rsidRPr="00C32B8C" w:rsidRDefault="00216366" w:rsidP="00D715FE">
            <w:pPr>
              <w:spacing w:after="120"/>
              <w:rPr>
                <w:rFonts w:cs="Arial"/>
                <w:lang w:eastAsia="zh-CN"/>
              </w:rPr>
            </w:pPr>
            <w:r w:rsidRPr="00C32B8C">
              <w:rPr>
                <w:rFonts w:cs="Arial"/>
              </w:rPr>
              <w:t>This document binds all parties, their employees, associates, transferees, relations, assignees or designees. Fax copies of this document are fully legal, enforceable and binding.</w:t>
            </w:r>
          </w:p>
        </w:tc>
      </w:tr>
      <w:tr w:rsidR="00216366" w:rsidTr="00D715FE">
        <w:trPr>
          <w:trHeight w:val="288"/>
        </w:trPr>
        <w:tc>
          <w:tcPr>
            <w:tcW w:w="540" w:type="dxa"/>
            <w:vAlign w:val="center"/>
          </w:tcPr>
          <w:p w:rsidR="00216366" w:rsidRPr="00C32B8C" w:rsidRDefault="00216366" w:rsidP="00D715FE">
            <w:pPr>
              <w:jc w:val="left"/>
              <w:rPr>
                <w:b/>
              </w:rPr>
            </w:pPr>
            <w:r w:rsidRPr="00C32B8C">
              <w:rPr>
                <w:b/>
              </w:rPr>
              <w:t>20.</w:t>
            </w:r>
          </w:p>
        </w:tc>
        <w:tc>
          <w:tcPr>
            <w:tcW w:w="1980" w:type="dxa"/>
            <w:vAlign w:val="center"/>
          </w:tcPr>
          <w:p w:rsidR="00216366" w:rsidRPr="002C3957" w:rsidRDefault="00216366" w:rsidP="00D715FE">
            <w:pPr>
              <w:jc w:val="left"/>
              <w:rPr>
                <w:b/>
                <w:sz w:val="18"/>
                <w:szCs w:val="18"/>
              </w:rPr>
            </w:pPr>
            <w:r w:rsidRPr="002C3957">
              <w:rPr>
                <w:b/>
                <w:sz w:val="18"/>
                <w:szCs w:val="18"/>
              </w:rPr>
              <w:t>CORRESPONDENCE</w:t>
            </w:r>
          </w:p>
        </w:tc>
        <w:tc>
          <w:tcPr>
            <w:tcW w:w="7128" w:type="dxa"/>
            <w:vAlign w:val="center"/>
          </w:tcPr>
          <w:p w:rsidR="00216366" w:rsidRPr="00C32B8C" w:rsidRDefault="00216366" w:rsidP="00D715FE">
            <w:pPr>
              <w:spacing w:after="120"/>
              <w:rPr>
                <w:rFonts w:cs="Arial"/>
              </w:rPr>
            </w:pPr>
          </w:p>
          <w:p w:rsidR="00216366" w:rsidRPr="00C32B8C" w:rsidRDefault="00216366" w:rsidP="00216366">
            <w:pPr>
              <w:spacing w:after="120"/>
              <w:rPr>
                <w:rFonts w:cs="Arial"/>
                <w:lang w:eastAsia="zh-CN"/>
              </w:rPr>
            </w:pPr>
            <w:r w:rsidRPr="00C32B8C">
              <w:rPr>
                <w:rFonts w:cs="Arial"/>
              </w:rPr>
              <w:t>All corresponden</w:t>
            </w:r>
            <w:r>
              <w:rPr>
                <w:rFonts w:cs="Arial"/>
              </w:rPr>
              <w:t xml:space="preserve">ce to be addressed and sent to Asian Dragon International </w:t>
            </w:r>
            <w:hyperlink r:id="rId8" w:history="1">
              <w:r w:rsidRPr="00530E97">
                <w:rPr>
                  <w:rStyle w:val="Hyperlink"/>
                  <w:rFonts w:cs="Arial"/>
                </w:rPr>
                <w:t>sales@asiandragonintl.com</w:t>
              </w:r>
            </w:hyperlink>
            <w:r>
              <w:rPr>
                <w:rFonts w:cs="Arial"/>
              </w:rPr>
              <w:t xml:space="preserve"> </w:t>
            </w:r>
            <w:r w:rsidRPr="00C32B8C">
              <w:rPr>
                <w:rFonts w:cs="Arial"/>
                <w:lang w:eastAsia="zh-CN"/>
              </w:rPr>
              <w:t xml:space="preserve"> </w:t>
            </w:r>
          </w:p>
        </w:tc>
      </w:tr>
    </w:tbl>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 w:rsidR="00216366" w:rsidRDefault="00216366" w:rsidP="00216366">
      <w:pPr>
        <w:tabs>
          <w:tab w:val="left" w:pos="360"/>
        </w:tabs>
        <w:spacing w:line="360" w:lineRule="auto"/>
        <w:rPr>
          <w:rFonts w:cs="Arial"/>
          <w:b/>
          <w:sz w:val="32"/>
          <w:szCs w:val="32"/>
          <w:u w:val="single"/>
        </w:rPr>
      </w:pPr>
      <w:r>
        <w:rPr>
          <w:rFonts w:cs="Arial"/>
          <w:b/>
          <w:sz w:val="32"/>
          <w:szCs w:val="32"/>
          <w:u w:val="single"/>
        </w:rPr>
        <w:lastRenderedPageBreak/>
        <w:t>PROCEDURES</w:t>
      </w:r>
    </w:p>
    <w:p w:rsidR="00216366" w:rsidRDefault="00216366" w:rsidP="00216366">
      <w:pPr>
        <w:widowControl w:val="0"/>
        <w:numPr>
          <w:ilvl w:val="0"/>
          <w:numId w:val="1"/>
        </w:numPr>
        <w:suppressAutoHyphens/>
      </w:pPr>
      <w:r>
        <w:rPr>
          <w:lang w:eastAsia="zh-CN"/>
        </w:rPr>
        <w:t>The Buyer reviews the final contract and upon acceptance signs the final copy contract and returns it to the Seller. If further revisions are required they are noted and sent back to the Seller for further review.</w:t>
      </w:r>
      <w:r>
        <w:t xml:space="preserve">  </w:t>
      </w:r>
    </w:p>
    <w:p w:rsidR="00216366" w:rsidRDefault="00216366" w:rsidP="00216366"/>
    <w:p w:rsidR="00216366" w:rsidRDefault="00216366" w:rsidP="00216366">
      <w:pPr>
        <w:widowControl w:val="0"/>
        <w:numPr>
          <w:ilvl w:val="0"/>
          <w:numId w:val="1"/>
        </w:numPr>
        <w:suppressAutoHyphens/>
      </w:pPr>
      <w:r>
        <w:rPr>
          <w:lang w:eastAsia="zh-CN"/>
        </w:rPr>
        <w:t>Upon receipt of the accepted signed draft contract from the Buyer via facsimile or Email, a table top meeting shall be arranged for the final signing of the contract.  During the meeting the Seller shall present reference documents to the Buyer.</w:t>
      </w:r>
    </w:p>
    <w:p w:rsidR="00216366" w:rsidRDefault="00216366" w:rsidP="00216366"/>
    <w:p w:rsidR="00216366" w:rsidRDefault="00216366" w:rsidP="00216366">
      <w:pPr>
        <w:widowControl w:val="0"/>
        <w:numPr>
          <w:ilvl w:val="0"/>
          <w:numId w:val="1"/>
        </w:numPr>
        <w:suppressAutoHyphens/>
      </w:pPr>
      <w:r>
        <w:rPr>
          <w:lang w:eastAsia="zh-CN"/>
        </w:rPr>
        <w:t>Before the payment instrument is SWIFT to the Seller’s designated bank account, the verbiage of the said instrument must be reviewed and approved by the representative of the Seller and notification of the approval shall be sent to the Buyer.</w:t>
      </w:r>
    </w:p>
    <w:p w:rsidR="00216366" w:rsidRDefault="00216366" w:rsidP="00216366">
      <w:pPr>
        <w:ind w:left="709"/>
      </w:pPr>
    </w:p>
    <w:p w:rsidR="00216366" w:rsidRDefault="00216366" w:rsidP="00216366">
      <w:pPr>
        <w:widowControl w:val="0"/>
        <w:numPr>
          <w:ilvl w:val="0"/>
          <w:numId w:val="1"/>
        </w:numPr>
        <w:suppressAutoHyphens/>
      </w:pPr>
      <w:r>
        <w:rPr>
          <w:lang w:eastAsia="zh-CN"/>
        </w:rPr>
        <w:t xml:space="preserve">Within ten (10) banking days after the Final contract has been signed, The Buyer shall </w:t>
      </w:r>
      <w:r>
        <w:rPr>
          <w:rFonts w:eastAsia="Malgun Gothic"/>
          <w:lang w:eastAsia="ko-KR"/>
        </w:rPr>
        <w:t xml:space="preserve">issue </w:t>
      </w:r>
      <w:proofErr w:type="gramStart"/>
      <w:r>
        <w:rPr>
          <w:rFonts w:eastAsia="Malgun Gothic"/>
          <w:lang w:eastAsia="ko-KR"/>
        </w:rPr>
        <w:t xml:space="preserve">the </w:t>
      </w:r>
      <w:r>
        <w:rPr>
          <w:lang w:eastAsia="zh-CN"/>
        </w:rPr>
        <w:t xml:space="preserve"> </w:t>
      </w:r>
      <w:r>
        <w:rPr>
          <w:rFonts w:eastAsia="Malgun Gothic"/>
          <w:color w:val="FF0000"/>
          <w:lang w:eastAsia="ko-KR"/>
        </w:rPr>
        <w:t>operative</w:t>
      </w:r>
      <w:proofErr w:type="gramEnd"/>
      <w:r>
        <w:rPr>
          <w:rFonts w:eastAsia="Malgun Gothic"/>
          <w:color w:val="FF0000"/>
          <w:lang w:eastAsia="ko-KR"/>
        </w:rPr>
        <w:t xml:space="preserve"> or non operative payment instrument</w:t>
      </w:r>
      <w:r>
        <w:rPr>
          <w:rFonts w:eastAsia="Malgun Gothic"/>
          <w:lang w:eastAsia="ko-KR"/>
        </w:rPr>
        <w:t xml:space="preserve"> through the Buyer’s bank </w:t>
      </w:r>
      <w:r>
        <w:rPr>
          <w:lang w:eastAsia="zh-CN"/>
        </w:rPr>
        <w:t>as reviewed and approved by the Seller’s designated bank account.</w:t>
      </w:r>
    </w:p>
    <w:p w:rsidR="00216366" w:rsidRDefault="00216366" w:rsidP="00216366">
      <w:pPr>
        <w:rPr>
          <w:lang w:eastAsia="zh-CN"/>
        </w:rPr>
      </w:pPr>
    </w:p>
    <w:p w:rsidR="00216366" w:rsidRDefault="00216366" w:rsidP="00216366">
      <w:pPr>
        <w:widowControl w:val="0"/>
        <w:numPr>
          <w:ilvl w:val="0"/>
          <w:numId w:val="1"/>
        </w:numPr>
        <w:suppressAutoHyphens/>
        <w:rPr>
          <w:lang w:eastAsia="ar-SA"/>
        </w:rPr>
      </w:pPr>
      <w:r>
        <w:rPr>
          <w:lang w:eastAsia="zh-CN"/>
        </w:rPr>
        <w:t>Within ten (10)</w:t>
      </w:r>
      <w:r>
        <w:rPr>
          <w:color w:val="339966"/>
          <w:lang w:eastAsia="zh-CN"/>
        </w:rPr>
        <w:t xml:space="preserve"> </w:t>
      </w:r>
      <w:r>
        <w:rPr>
          <w:lang w:eastAsia="zh-CN"/>
        </w:rPr>
        <w:t xml:space="preserve">banking days after receipt of </w:t>
      </w:r>
      <w:r>
        <w:rPr>
          <w:rFonts w:eastAsia="Malgun Gothic"/>
          <w:lang w:eastAsia="ko-KR"/>
        </w:rPr>
        <w:t xml:space="preserve">the </w:t>
      </w:r>
      <w:r>
        <w:rPr>
          <w:rFonts w:eastAsia="Malgun Gothic"/>
          <w:color w:val="FF0000"/>
          <w:lang w:eastAsia="ko-KR"/>
        </w:rPr>
        <w:t>operative or non operative payment instrument</w:t>
      </w:r>
      <w:r>
        <w:rPr>
          <w:rFonts w:eastAsia="Malgun Gothic"/>
          <w:lang w:eastAsia="ko-KR"/>
        </w:rPr>
        <w:t xml:space="preserve"> issued by Buyer’s bank</w:t>
      </w:r>
      <w:r>
        <w:rPr>
          <w:lang w:eastAsia="zh-CN"/>
        </w:rPr>
        <w:t xml:space="preserve"> acceptable to the Seller and the Sellers Bank, the Seller shall issue a full Proof of Products as per Clause 1</w:t>
      </w:r>
      <w:r>
        <w:rPr>
          <w:rFonts w:eastAsia="Malgun Gothic"/>
          <w:lang w:eastAsia="ko-KR"/>
        </w:rPr>
        <w:t>2</w:t>
      </w:r>
      <w:r>
        <w:rPr>
          <w:lang w:eastAsia="zh-CN"/>
        </w:rPr>
        <w:t>.</w:t>
      </w:r>
    </w:p>
    <w:p w:rsidR="00216366" w:rsidRDefault="00216366" w:rsidP="00216366">
      <w:pPr>
        <w:pStyle w:val="ListParagraph"/>
      </w:pPr>
    </w:p>
    <w:p w:rsidR="00216366" w:rsidRDefault="00216366" w:rsidP="00216366">
      <w:pPr>
        <w:widowControl w:val="0"/>
        <w:numPr>
          <w:ilvl w:val="0"/>
          <w:numId w:val="1"/>
        </w:numPr>
        <w:suppressAutoHyphens/>
      </w:pPr>
      <w:r>
        <w:rPr>
          <w:lang w:eastAsia="zh-CN"/>
        </w:rPr>
        <w:t>Within ten (10) banking days after receipt of operative financial instrument acceptable to the Seller and the Sellers Bank, the Seller shall issue a 2% Performance bond as per Clause 1</w:t>
      </w:r>
      <w:r>
        <w:rPr>
          <w:rFonts w:eastAsia="Malgun Gothic"/>
          <w:lang w:eastAsia="ko-KR"/>
        </w:rPr>
        <w:t>1.</w:t>
      </w:r>
    </w:p>
    <w:p w:rsidR="00216366" w:rsidRDefault="00216366" w:rsidP="00216366"/>
    <w:p w:rsidR="00216366" w:rsidRDefault="00216366" w:rsidP="00216366">
      <w:pPr>
        <w:widowControl w:val="0"/>
        <w:numPr>
          <w:ilvl w:val="0"/>
          <w:numId w:val="1"/>
        </w:numPr>
        <w:suppressAutoHyphens/>
      </w:pPr>
      <w:r>
        <w:rPr>
          <w:lang w:eastAsia="zh-CN"/>
        </w:rPr>
        <w:t>Seller will invite Buyer for loading visit at the loading port.</w:t>
      </w:r>
    </w:p>
    <w:p w:rsidR="00216366" w:rsidRDefault="00216366" w:rsidP="00216366">
      <w:pPr>
        <w:rPr>
          <w:lang w:eastAsia="zh-CN"/>
        </w:rPr>
      </w:pPr>
    </w:p>
    <w:p w:rsidR="00216366" w:rsidRDefault="00216366" w:rsidP="00216366">
      <w:pPr>
        <w:widowControl w:val="0"/>
        <w:numPr>
          <w:ilvl w:val="0"/>
          <w:numId w:val="1"/>
        </w:numPr>
        <w:suppressAutoHyphens/>
        <w:rPr>
          <w:lang w:eastAsia="ar-SA"/>
        </w:rPr>
      </w:pPr>
      <w:r>
        <w:rPr>
          <w:lang w:eastAsia="zh-CN"/>
        </w:rPr>
        <w:t>Delivery and shipment shall commence after the fulfillment of the procedure, stated above, as per the terms and conditions of this contract.</w:t>
      </w:r>
    </w:p>
    <w:p w:rsidR="00216366" w:rsidRDefault="00216366" w:rsidP="00216366">
      <w:pPr>
        <w:rPr>
          <w:lang w:eastAsia="zh-CN"/>
        </w:rPr>
      </w:pPr>
    </w:p>
    <w:p w:rsidR="00216366" w:rsidRDefault="00216366" w:rsidP="00216366">
      <w:pPr>
        <w:rPr>
          <w:rFonts w:cs="Arial"/>
          <w:b/>
          <w:color w:val="FF0000"/>
          <w:sz w:val="22"/>
          <w:szCs w:val="22"/>
        </w:rPr>
      </w:pPr>
      <w:r>
        <w:rPr>
          <w:rFonts w:cs="Arial"/>
          <w:b/>
          <w:color w:val="FF0000"/>
          <w:sz w:val="22"/>
          <w:szCs w:val="22"/>
        </w:rPr>
        <w:t>If you are agreeable to the terms and conditions of the above offer, kindly issue LOI and BCL BEFORE the expiry date of this offer. Any response after the expiry date may be subject to a new pricing.</w:t>
      </w:r>
    </w:p>
    <w:p w:rsidR="00216366" w:rsidRDefault="00216366" w:rsidP="00216366"/>
    <w:p w:rsidR="00216366" w:rsidRPr="00CF49AF" w:rsidRDefault="00216366" w:rsidP="00216366">
      <w:pPr>
        <w:rPr>
          <w:rFonts w:cs="Arial"/>
          <w:b/>
          <w:bCs/>
        </w:rPr>
      </w:pPr>
      <w:r>
        <w:rPr>
          <w:rFonts w:cs="Arial"/>
          <w:b/>
          <w:sz w:val="32"/>
          <w:szCs w:val="32"/>
          <w:u w:val="single"/>
        </w:rPr>
        <w:t xml:space="preserve"> </w:t>
      </w:r>
    </w:p>
    <w:p w:rsidR="00216366" w:rsidRDefault="00216366" w:rsidP="00216366">
      <w:pPr>
        <w:rPr>
          <w:rFonts w:cs="Arial"/>
          <w:b/>
        </w:rPr>
      </w:pPr>
    </w:p>
    <w:p w:rsidR="00216366" w:rsidRDefault="00216366" w:rsidP="00216366">
      <w:pPr>
        <w:rPr>
          <w:rFonts w:cs="Arial"/>
          <w:b/>
        </w:rPr>
      </w:pPr>
    </w:p>
    <w:p w:rsidR="00216366" w:rsidRDefault="00216366" w:rsidP="00216366">
      <w:pPr>
        <w:rPr>
          <w:rFonts w:cs="Arial"/>
          <w:b/>
        </w:rPr>
      </w:pPr>
    </w:p>
    <w:sectPr w:rsidR="00216366" w:rsidSect="00216366">
      <w:headerReference w:type="default" r:id="rId9"/>
      <w:footerReference w:type="default" r:id="rId10"/>
      <w:footerReference w:type="first" r:id="rId11"/>
      <w:pgSz w:w="12240" w:h="15840" w:code="1"/>
      <w:pgMar w:top="1440" w:right="1440" w:bottom="302" w:left="1440" w:header="144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ED" w:rsidRDefault="009A56ED" w:rsidP="00216366">
      <w:r>
        <w:separator/>
      </w:r>
    </w:p>
  </w:endnote>
  <w:endnote w:type="continuationSeparator" w:id="0">
    <w:p w:rsidR="009A56ED" w:rsidRDefault="009A56ED" w:rsidP="00216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F8" w:rsidRDefault="009A56ED" w:rsidP="00D31CF8">
    <w:pPr>
      <w:pStyle w:val="Footer"/>
      <w:jc w:val="center"/>
    </w:pPr>
    <w:r>
      <w:t xml:space="preserve">Page </w:t>
    </w:r>
    <w:r>
      <w:rPr>
        <w:b/>
        <w:sz w:val="24"/>
        <w:szCs w:val="24"/>
      </w:rPr>
      <w:fldChar w:fldCharType="begin"/>
    </w:r>
    <w:r>
      <w:rPr>
        <w:b/>
      </w:rPr>
      <w:instrText xml:space="preserve"> </w:instrText>
    </w:r>
    <w:r>
      <w:rPr>
        <w:b/>
      </w:rPr>
      <w:instrText xml:space="preserve">PAGE </w:instrText>
    </w:r>
    <w:r>
      <w:rPr>
        <w:b/>
        <w:sz w:val="24"/>
        <w:szCs w:val="24"/>
      </w:rPr>
      <w:fldChar w:fldCharType="separate"/>
    </w:r>
    <w:r w:rsidR="0021636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16366">
      <w:rPr>
        <w:b/>
        <w:noProof/>
      </w:rPr>
      <w:t>4</w:t>
    </w:r>
    <w:r>
      <w:rPr>
        <w:b/>
        <w:sz w:val="24"/>
        <w:szCs w:val="24"/>
      </w:rPr>
      <w:fldChar w:fldCharType="end"/>
    </w:r>
  </w:p>
  <w:p w:rsidR="00D31CF8" w:rsidRDefault="009A5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3E" w:rsidRPr="00C6693E" w:rsidRDefault="009A56ED" w:rsidP="00B10535">
    <w:pPr>
      <w:pStyle w:val="Footer"/>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ED" w:rsidRDefault="009A56ED" w:rsidP="00216366">
      <w:r>
        <w:separator/>
      </w:r>
    </w:p>
  </w:footnote>
  <w:footnote w:type="continuationSeparator" w:id="0">
    <w:p w:rsidR="009A56ED" w:rsidRDefault="009A56ED" w:rsidP="00216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66" w:rsidRDefault="00216366">
    <w:pPr>
      <w:pStyle w:val="Header"/>
    </w:pPr>
    <w:r>
      <w:rPr>
        <w:noProof/>
      </w:rPr>
      <w:drawing>
        <wp:inline distT="0" distB="0" distL="0" distR="0">
          <wp:extent cx="1828572" cy="895238"/>
          <wp:effectExtent l="19050" t="0" r="228" b="0"/>
          <wp:docPr id="2" name="Picture 1" descr="IMAGE0~1111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111122.PNG"/>
                  <pic:cNvPicPr/>
                </pic:nvPicPr>
                <pic:blipFill>
                  <a:blip r:embed="rId1"/>
                  <a:stretch>
                    <a:fillRect/>
                  </a:stretch>
                </pic:blipFill>
                <pic:spPr>
                  <a:xfrm>
                    <a:off x="0" y="0"/>
                    <a:ext cx="1828572" cy="895238"/>
                  </a:xfrm>
                  <a:prstGeom prst="rect">
                    <a:avLst/>
                  </a:prstGeom>
                </pic:spPr>
              </pic:pic>
            </a:graphicData>
          </a:graphic>
        </wp:inline>
      </w:drawing>
    </w:r>
  </w:p>
  <w:p w:rsidR="002B3AE9" w:rsidRPr="002B3AE9" w:rsidRDefault="009A56ED" w:rsidP="00D31CF8">
    <w:pPr>
      <w:pStyle w:val="Header"/>
      <w:pBdr>
        <w:bottom w:val="thickThinSmallGap" w:sz="24" w:space="1" w:color="622423"/>
      </w:pBdr>
      <w:tabs>
        <w:tab w:val="left" w:pos="570"/>
        <w:tab w:val="left" w:pos="885"/>
        <w:tab w:val="center" w:pos="4680"/>
      </w:tabs>
      <w:jc w:val="left"/>
      <w:rPr>
        <w:rFonts w:ascii="Cambria" w:eastAsia="SimSun" w:hAnsi="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EB0953C"/>
    <w:name w:val="WW8Num52"/>
    <w:lvl w:ilvl="0">
      <w:start w:val="1"/>
      <w:numFmt w:val="lowerLetter"/>
      <w:lvlText w:val="%1."/>
      <w:lvlJc w:val="left"/>
      <w:pPr>
        <w:tabs>
          <w:tab w:val="num" w:pos="1129"/>
        </w:tabs>
        <w:ind w:left="1129" w:hanging="420"/>
      </w:pPr>
      <w:rPr>
        <w:rFonts w:hint="eastAsia"/>
        <w:b w:val="0"/>
      </w:rPr>
    </w:lvl>
    <w:lvl w:ilvl="1">
      <w:start w:val="1"/>
      <w:numFmt w:val="lowerLetter"/>
      <w:lvlText w:val="%2)"/>
      <w:lvlJc w:val="left"/>
      <w:pPr>
        <w:tabs>
          <w:tab w:val="num" w:pos="-1331"/>
        </w:tabs>
        <w:ind w:left="-1331" w:hanging="420"/>
      </w:pPr>
      <w:rPr>
        <w:rFonts w:ascii="Symbol" w:hAnsi="Symbol"/>
      </w:rPr>
    </w:lvl>
    <w:lvl w:ilvl="2">
      <w:start w:val="1"/>
      <w:numFmt w:val="lowerRoman"/>
      <w:lvlText w:val="%3."/>
      <w:lvlJc w:val="right"/>
      <w:pPr>
        <w:tabs>
          <w:tab w:val="num" w:pos="-911"/>
        </w:tabs>
        <w:ind w:left="-911" w:hanging="420"/>
      </w:pPr>
      <w:rPr>
        <w:rFonts w:ascii="Symbol" w:hAnsi="Symbol"/>
      </w:rPr>
    </w:lvl>
    <w:lvl w:ilvl="3">
      <w:start w:val="1"/>
      <w:numFmt w:val="decimal"/>
      <w:lvlText w:val="%4."/>
      <w:lvlJc w:val="left"/>
      <w:pPr>
        <w:tabs>
          <w:tab w:val="num" w:pos="-491"/>
        </w:tabs>
        <w:ind w:left="-491" w:hanging="420"/>
      </w:pPr>
      <w:rPr>
        <w:rFonts w:ascii="Symbol" w:hAnsi="Symbol"/>
      </w:rPr>
    </w:lvl>
    <w:lvl w:ilvl="4">
      <w:start w:val="1"/>
      <w:numFmt w:val="lowerLetter"/>
      <w:lvlText w:val="%5)"/>
      <w:lvlJc w:val="left"/>
      <w:pPr>
        <w:tabs>
          <w:tab w:val="num" w:pos="-71"/>
        </w:tabs>
        <w:ind w:left="-71" w:hanging="420"/>
      </w:pPr>
      <w:rPr>
        <w:rFonts w:ascii="Symbol" w:hAnsi="Symbol"/>
      </w:rPr>
    </w:lvl>
    <w:lvl w:ilvl="5">
      <w:start w:val="1"/>
      <w:numFmt w:val="lowerRoman"/>
      <w:lvlText w:val="%6."/>
      <w:lvlJc w:val="right"/>
      <w:pPr>
        <w:tabs>
          <w:tab w:val="num" w:pos="349"/>
        </w:tabs>
        <w:ind w:left="349" w:hanging="420"/>
      </w:pPr>
      <w:rPr>
        <w:rFonts w:ascii="Symbol" w:hAnsi="Symbol"/>
      </w:rPr>
    </w:lvl>
    <w:lvl w:ilvl="6">
      <w:start w:val="1"/>
      <w:numFmt w:val="decimal"/>
      <w:lvlText w:val="%7."/>
      <w:lvlJc w:val="left"/>
      <w:pPr>
        <w:tabs>
          <w:tab w:val="num" w:pos="769"/>
        </w:tabs>
        <w:ind w:left="769" w:hanging="420"/>
      </w:pPr>
      <w:rPr>
        <w:rFonts w:ascii="Symbol" w:hAnsi="Symbol"/>
      </w:rPr>
    </w:lvl>
    <w:lvl w:ilvl="7">
      <w:start w:val="1"/>
      <w:numFmt w:val="lowerLetter"/>
      <w:lvlText w:val="%8)"/>
      <w:lvlJc w:val="left"/>
      <w:pPr>
        <w:tabs>
          <w:tab w:val="num" w:pos="1189"/>
        </w:tabs>
        <w:ind w:left="1189" w:hanging="420"/>
      </w:pPr>
      <w:rPr>
        <w:rFonts w:ascii="Symbol" w:hAnsi="Symbol"/>
      </w:rPr>
    </w:lvl>
    <w:lvl w:ilvl="8">
      <w:start w:val="1"/>
      <w:numFmt w:val="lowerRoman"/>
      <w:lvlText w:val="%9."/>
      <w:lvlJc w:val="right"/>
      <w:pPr>
        <w:tabs>
          <w:tab w:val="num" w:pos="1609"/>
        </w:tabs>
        <w:ind w:left="1609" w:hanging="420"/>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16366"/>
    <w:rsid w:val="000361ED"/>
    <w:rsid w:val="00216366"/>
    <w:rsid w:val="002F5E08"/>
    <w:rsid w:val="004A6ACE"/>
    <w:rsid w:val="009A56ED"/>
    <w:rsid w:val="00F22D5E"/>
    <w:rsid w:val="00FF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66"/>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216366"/>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ReturnAddress">
    <w:name w:val="Return Address"/>
    <w:basedOn w:val="Normal"/>
    <w:rsid w:val="00216366"/>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Header">
    <w:name w:val="header"/>
    <w:basedOn w:val="Normal"/>
    <w:link w:val="HeaderChar"/>
    <w:uiPriority w:val="99"/>
    <w:rsid w:val="00216366"/>
    <w:pPr>
      <w:tabs>
        <w:tab w:val="center" w:pos="4320"/>
        <w:tab w:val="right" w:pos="8640"/>
      </w:tabs>
    </w:pPr>
  </w:style>
  <w:style w:type="character" w:customStyle="1" w:styleId="HeaderChar">
    <w:name w:val="Header Char"/>
    <w:basedOn w:val="DefaultParagraphFont"/>
    <w:link w:val="Header"/>
    <w:uiPriority w:val="99"/>
    <w:rsid w:val="00216366"/>
    <w:rPr>
      <w:rFonts w:ascii="Arial" w:eastAsia="Times New Roman" w:hAnsi="Arial" w:cs="Times New Roman"/>
      <w:spacing w:val="-5"/>
      <w:sz w:val="20"/>
      <w:szCs w:val="20"/>
    </w:rPr>
  </w:style>
  <w:style w:type="paragraph" w:styleId="Footer">
    <w:name w:val="footer"/>
    <w:basedOn w:val="Normal"/>
    <w:link w:val="FooterChar"/>
    <w:uiPriority w:val="99"/>
    <w:rsid w:val="00216366"/>
    <w:pPr>
      <w:tabs>
        <w:tab w:val="center" w:pos="4320"/>
        <w:tab w:val="right" w:pos="8640"/>
      </w:tabs>
    </w:pPr>
  </w:style>
  <w:style w:type="character" w:customStyle="1" w:styleId="FooterChar">
    <w:name w:val="Footer Char"/>
    <w:basedOn w:val="DefaultParagraphFont"/>
    <w:link w:val="Footer"/>
    <w:uiPriority w:val="99"/>
    <w:rsid w:val="00216366"/>
    <w:rPr>
      <w:rFonts w:ascii="Arial" w:eastAsia="Times New Roman" w:hAnsi="Arial" w:cs="Times New Roman"/>
      <w:spacing w:val="-5"/>
      <w:sz w:val="20"/>
      <w:szCs w:val="20"/>
    </w:rPr>
  </w:style>
  <w:style w:type="character" w:styleId="Hyperlink">
    <w:name w:val="Hyperlink"/>
    <w:basedOn w:val="DefaultParagraphFont"/>
    <w:rsid w:val="00216366"/>
    <w:rPr>
      <w:color w:val="0000FF"/>
      <w:u w:val="single"/>
    </w:rPr>
  </w:style>
  <w:style w:type="paragraph" w:styleId="ListParagraph">
    <w:name w:val="List Paragraph"/>
    <w:basedOn w:val="Normal"/>
    <w:qFormat/>
    <w:rsid w:val="00216366"/>
    <w:pPr>
      <w:widowControl w:val="0"/>
      <w:suppressAutoHyphens/>
      <w:ind w:left="720"/>
      <w:jc w:val="left"/>
    </w:pPr>
    <w:rPr>
      <w:rFonts w:ascii="Times New Roman" w:eastAsia="SimSun" w:hAnsi="Times New Roman"/>
      <w:spacing w:val="0"/>
      <w:sz w:val="24"/>
      <w:szCs w:val="24"/>
      <w:lang w:eastAsia="ar-SA"/>
    </w:rPr>
  </w:style>
  <w:style w:type="paragraph" w:styleId="BalloonText">
    <w:name w:val="Balloon Text"/>
    <w:basedOn w:val="Normal"/>
    <w:link w:val="BalloonTextChar"/>
    <w:uiPriority w:val="99"/>
    <w:semiHidden/>
    <w:unhideWhenUsed/>
    <w:rsid w:val="00216366"/>
    <w:rPr>
      <w:rFonts w:ascii="Tahoma" w:hAnsi="Tahoma" w:cs="Tahoma"/>
      <w:sz w:val="16"/>
      <w:szCs w:val="16"/>
    </w:rPr>
  </w:style>
  <w:style w:type="character" w:customStyle="1" w:styleId="BalloonTextChar">
    <w:name w:val="Balloon Text Char"/>
    <w:basedOn w:val="DefaultParagraphFont"/>
    <w:link w:val="BalloonText"/>
    <w:uiPriority w:val="99"/>
    <w:semiHidden/>
    <w:rsid w:val="00216366"/>
    <w:rPr>
      <w:rFonts w:ascii="Tahoma" w:eastAsia="Times New Roman"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asiandragonint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2011-04-05T09:33:00Z</dcterms:created>
  <dcterms:modified xsi:type="dcterms:W3CDTF">2011-04-05T09:38:00Z</dcterms:modified>
</cp:coreProperties>
</file>